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7C80C">
      <w:pPr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广西师范大学二级学院（部）本科教育教学工作考核实施办法</w:t>
      </w:r>
    </w:p>
    <w:p w14:paraId="4C978A26">
      <w:pPr>
        <w:jc w:val="center"/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2025年修订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  <w:t>）</w:t>
      </w:r>
      <w:bookmarkStart w:id="0" w:name="_GoBack"/>
      <w:bookmarkEnd w:id="0"/>
    </w:p>
    <w:p w14:paraId="6C22C4C4">
      <w:pPr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修订说明</w:t>
      </w:r>
    </w:p>
    <w:p w14:paraId="73241F27"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本文件各项考核指标在广西师范大学二级学院（部）本科教学工作绩效考核评比指标（202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年）基础上进行修订，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修订内容如下：</w:t>
      </w:r>
    </w:p>
    <w:p w14:paraId="0AFDA252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1.增加基础性指标分值，由原65分提高至80分，具体如下：</w:t>
      </w:r>
    </w:p>
    <w:p w14:paraId="04208D86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（1）增设“教学基本运行”考核观测点，最高计20分，最低计0分。</w:t>
      </w:r>
    </w:p>
    <w:p w14:paraId="36E229B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（2）提高“小班授课”考核观测点分值，由原3分提高至5分。</w:t>
      </w:r>
    </w:p>
    <w:p w14:paraId="17D18278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（3）提高“学生评教情况”考核观测点分值，由原2分提高至5分。</w:t>
      </w:r>
    </w:p>
    <w:p w14:paraId="0F601A85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（4）修改“毕业率”考核观测点计分标准，由原来的根据当年12月审核数据为统计依据，修改为以当年7月审核数据为统计依据，并适当提高毕业率比例。</w:t>
      </w:r>
    </w:p>
    <w:p w14:paraId="50862FE2"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（5）取消“升学率”考核观测点计分（10分）。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升学率指标拟由学工部牵头进行考核。</w:t>
      </w:r>
    </w:p>
    <w:p w14:paraId="47DEA5F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2.降低发展性指标分值，由原最高35分降低至最高20分，具体如下：</w:t>
      </w:r>
    </w:p>
    <w:p w14:paraId="077C45CC"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调整部分“高水平集体教学业绩”分值，原计30分的业绩统一调整为计20分，原计20分的业绩统一调整为计18分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14A91EEB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广西师范大学二级学院（部）本科教育教学工作</w:t>
      </w:r>
    </w:p>
    <w:p w14:paraId="77C56258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考核实施办法</w:t>
      </w:r>
    </w:p>
    <w:p w14:paraId="0C386C49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征求意见稿</w:t>
      </w:r>
    </w:p>
    <w:p w14:paraId="7206E7AB"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466DF73D">
      <w:pPr>
        <w:spacing w:line="580" w:lineRule="exact"/>
        <w:ind w:firstLine="640" w:firstLineChars="200"/>
        <w:rPr>
          <w:rFonts w:ascii="Times New Roman" w:hAnsi="Times New Roman" w:eastAsia="仿宋"/>
          <w:kern w:val="44"/>
          <w:sz w:val="32"/>
          <w:szCs w:val="32"/>
          <w:highlight w:val="yellow"/>
        </w:rPr>
      </w:pPr>
      <w:r>
        <w:rPr>
          <w:rFonts w:hint="eastAsia" w:ascii="Times New Roman" w:hAnsi="Times New Roman" w:eastAsia="仿宋"/>
          <w:kern w:val="44"/>
          <w:sz w:val="32"/>
          <w:szCs w:val="32"/>
        </w:rPr>
        <w:t>为进一步加强学校本科教学管理工作，规范本科教学管理秩序，促进各学院（部）全面落实立德树人根本任务，加快建设一流本科教育、培养一流创新人才，以高质量本科教育教学工作支撑学校高水平大学建设和“双一流”建设，结合学校实际，特制定本办法</w:t>
      </w:r>
      <w:r>
        <w:rPr>
          <w:rFonts w:ascii="Times New Roman" w:hAnsi="Times New Roman" w:eastAsia="仿宋"/>
          <w:kern w:val="44"/>
          <w:sz w:val="32"/>
          <w:szCs w:val="32"/>
        </w:rPr>
        <w:t>。</w:t>
      </w:r>
    </w:p>
    <w:p w14:paraId="13D31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80" w:lineRule="exact"/>
        <w:ind w:left="0" w:firstLine="643" w:firstLineChars="200"/>
        <w:textAlignment w:val="auto"/>
        <w:rPr>
          <w:rFonts w:eastAsia="黑体"/>
          <w:b/>
          <w:sz w:val="32"/>
          <w:szCs w:val="32"/>
        </w:rPr>
      </w:pPr>
      <w:r>
        <w:rPr>
          <w:rFonts w:hint="eastAsia" w:hAnsi="黑体" w:eastAsia="黑体"/>
          <w:b/>
          <w:sz w:val="32"/>
          <w:szCs w:val="32"/>
        </w:rPr>
        <w:t>一</w:t>
      </w:r>
      <w:r>
        <w:rPr>
          <w:rFonts w:hAnsi="黑体" w:eastAsia="黑体"/>
          <w:b/>
          <w:sz w:val="32"/>
          <w:szCs w:val="32"/>
        </w:rPr>
        <w:t>、考核</w:t>
      </w:r>
      <w:r>
        <w:rPr>
          <w:rFonts w:hint="eastAsia" w:hAnsi="黑体" w:eastAsia="黑体"/>
          <w:b/>
          <w:sz w:val="32"/>
          <w:szCs w:val="32"/>
        </w:rPr>
        <w:t>对象</w:t>
      </w:r>
    </w:p>
    <w:p w14:paraId="4A178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08" w:firstLineChars="200"/>
        <w:textAlignment w:val="auto"/>
        <w:rPr>
          <w:rFonts w:hint="eastAsia"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>各二级学院（部）。</w:t>
      </w:r>
    </w:p>
    <w:p w14:paraId="0F20D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80" w:lineRule="exact"/>
        <w:ind w:left="0" w:firstLine="643" w:firstLineChars="200"/>
        <w:textAlignment w:val="auto"/>
        <w:rPr>
          <w:rFonts w:hAnsi="黑体" w:eastAsia="黑体"/>
          <w:b/>
          <w:sz w:val="32"/>
          <w:szCs w:val="32"/>
        </w:rPr>
      </w:pPr>
      <w:r>
        <w:rPr>
          <w:rFonts w:hint="eastAsia" w:hAnsi="黑体" w:eastAsia="黑体"/>
          <w:b/>
          <w:sz w:val="32"/>
          <w:szCs w:val="32"/>
        </w:rPr>
        <w:t>二、考核指标及分值计算</w:t>
      </w:r>
    </w:p>
    <w:p w14:paraId="2785B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08" w:firstLineChars="200"/>
        <w:textAlignment w:val="auto"/>
        <w:rPr>
          <w:rFonts w:hint="eastAsia"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>共设基础性考核指标、发展性考核指标和约束性考核指标三类考核指标，具体考核指标内容及计分办法如下：</w:t>
      </w:r>
    </w:p>
    <w:p w14:paraId="75C36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left="0"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（一）基础性指标（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80</w:t>
      </w:r>
      <w:r>
        <w:rPr>
          <w:rFonts w:hint="eastAsia" w:eastAsia="仿宋_GB2312"/>
          <w:b/>
          <w:bCs/>
          <w:sz w:val="32"/>
          <w:szCs w:val="32"/>
        </w:rPr>
        <w:t>分）</w:t>
      </w:r>
    </w:p>
    <w:p w14:paraId="5CE60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ind w:firstLine="608" w:firstLineChars="200"/>
        <w:textAlignment w:val="auto"/>
        <w:rPr>
          <w:rFonts w:hint="eastAsia"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>主要考核各二级学院（部）在领导重视与队伍建设、学生生源及培养质量、教学运行与毕业论文（设计）、教学质量监督与保障等方面的情况。该类考核指标的考核分值最高为</w:t>
      </w:r>
      <w:r>
        <w:rPr>
          <w:rFonts w:hint="eastAsia" w:ascii="Times New Roman" w:hAnsi="Times New Roman" w:eastAsia="仿宋"/>
          <w:spacing w:val="-8"/>
          <w:sz w:val="32"/>
          <w:szCs w:val="32"/>
          <w:lang w:val="en-US" w:eastAsia="zh-CN"/>
        </w:rPr>
        <w:t>80</w:t>
      </w:r>
      <w:r>
        <w:rPr>
          <w:rFonts w:hint="eastAsia" w:ascii="Times New Roman" w:hAnsi="Times New Roman" w:eastAsia="仿宋"/>
          <w:spacing w:val="-8"/>
          <w:sz w:val="32"/>
          <w:szCs w:val="32"/>
        </w:rPr>
        <w:t>分，共设4个二级考核指标、14个考核观测点，具体考核内容及分值如下：</w:t>
      </w:r>
    </w:p>
    <w:p w14:paraId="76FE9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ind w:firstLine="608" w:firstLineChars="200"/>
        <w:textAlignment w:val="auto"/>
        <w:rPr>
          <w:rFonts w:hint="eastAsia" w:ascii="Times New Roman" w:hAnsi="Times New Roman" w:eastAsia="仿宋"/>
          <w:spacing w:val="-8"/>
          <w:sz w:val="32"/>
          <w:szCs w:val="32"/>
        </w:rPr>
      </w:pPr>
    </w:p>
    <w:tbl>
      <w:tblPr>
        <w:tblStyle w:val="7"/>
        <w:tblW w:w="8539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973"/>
        <w:gridCol w:w="4236"/>
        <w:gridCol w:w="892"/>
      </w:tblGrid>
      <w:tr w14:paraId="1ED10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tblHeader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345B0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kern w:val="0"/>
                <w:sz w:val="24"/>
                <w:lang w:bidi="ar"/>
              </w:rPr>
              <w:t>二级</w:t>
            </w:r>
          </w:p>
          <w:p w14:paraId="072BF7F9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kern w:val="0"/>
                <w:sz w:val="24"/>
                <w:lang w:bidi="ar"/>
              </w:rPr>
              <w:t>考核指标</w:t>
            </w:r>
          </w:p>
        </w:tc>
        <w:tc>
          <w:tcPr>
            <w:tcW w:w="7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951E6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考核观测点及分值</w:t>
            </w:r>
          </w:p>
        </w:tc>
      </w:tr>
      <w:tr w14:paraId="24AFB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E4134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领导重视与队伍建设（15分）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6E241">
            <w:pPr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学院（部）领导班子成员听课</w:t>
            </w:r>
          </w:p>
          <w:p w14:paraId="23ED0D8D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情况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DAF2">
            <w:pPr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达到学校规定的听课次数标准，计4分。</w:t>
            </w:r>
          </w:p>
          <w:p w14:paraId="476B95AA">
            <w:pP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【由教务处评建办核实，以学年为统计时段，以学校教学质量综合评价与分析系统数据为依据】</w:t>
            </w:r>
          </w:p>
          <w:p w14:paraId="22C60785">
            <w:pPr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3058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4分</w:t>
            </w:r>
          </w:p>
        </w:tc>
      </w:tr>
      <w:tr w14:paraId="6644D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9A436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8FB9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基层教学组织</w:t>
            </w:r>
          </w:p>
          <w:p w14:paraId="7E8B3839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建设情况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3D6E">
            <w:pPr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1.制定有规范的基层教学组织建设规划、方案、管理办法等，计2分；</w:t>
            </w:r>
          </w:p>
          <w:p w14:paraId="1A3E963C">
            <w:pPr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2.教研室（中心）每学期开展不少于3次的教学会议、专题教研、教学培训等活动，除教研室（中心）以外的其他类型基层教学组织每学期不少于1次。以上全部达标计3分，每有1个基层教学组织不达标，扣1分，扣完为止。</w:t>
            </w:r>
          </w:p>
          <w:p w14:paraId="23AD4FA2">
            <w:pP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（注：根据《广西师范大学基层教学组织建设与管理办法（2025年修订）》的通知（师政教学〔2025〕122号），基层教学组织包括学院/系教研室（中心）、实验教学中心、课程组、教学团队、教学研究与发展中心/平台等。）【由教务处高教室核实，以年度为统计时段，以学院（部）提交材料为依据】</w:t>
            </w:r>
          </w:p>
          <w:p w14:paraId="0217D07D">
            <w:pPr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A06A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5分</w:t>
            </w:r>
          </w:p>
        </w:tc>
      </w:tr>
      <w:tr w14:paraId="59BFA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173BC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78CB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教师参加</w:t>
            </w:r>
          </w:p>
          <w:p w14:paraId="0E738ADB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教学竞赛情况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9C2A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选派教师参加校级青年教师教学竞赛、教师教学创新大赛、课程思政示范课讲课比赛人次分别不少于2人，每达到1项计2分，共计6分。</w:t>
            </w:r>
          </w:p>
          <w:p w14:paraId="33D9928A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【由教发中心、课程与教材建设科核实，以年度为统计时段。】</w:t>
            </w:r>
          </w:p>
          <w:p w14:paraId="25055590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A426A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6分</w:t>
            </w:r>
          </w:p>
        </w:tc>
      </w:tr>
      <w:tr w14:paraId="429EE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E67A2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学生生源及培养质量</w:t>
            </w:r>
          </w:p>
          <w:p w14:paraId="595B4E30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分）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0D667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第一志愿录取率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C3CF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各学院（部）全部专业区内第一志愿平均录取率达95%（含）以上，计5分；达80%（含）以上，计4分；达60%（含）以上，计3分；达40%（含）以上，计2分；达20%（含）以上，计1分；20%以下，计0分。</w:t>
            </w:r>
          </w:p>
          <w:p w14:paraId="640D2E21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【由教务处招生办公室核实，以年度为统计时段。】</w:t>
            </w:r>
          </w:p>
          <w:p w14:paraId="42FB0C66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5606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5分</w:t>
            </w:r>
          </w:p>
        </w:tc>
      </w:tr>
      <w:tr w14:paraId="357B5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87FB2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04F30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本科生毕业率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76238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应届生实际毕业率达98%(含)以上，计5分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达96%(含)以上，计4分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达94%(含)以上，计3分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达92%(含)以上，计2分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达90%(含)以上，计1分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90%以下，计0分。</w:t>
            </w:r>
          </w:p>
          <w:p w14:paraId="5090A293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【由教务处学籍科核实，根据截至考核当年7月批次毕业审核数据为依据。】</w:t>
            </w:r>
          </w:p>
          <w:p w14:paraId="58A488ED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</w:rPr>
              <w:t>——根据原办法考核指标修改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  <w:lang w:val="en-US" w:eastAsia="zh-CN"/>
              </w:rPr>
              <w:t>修改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</w:rPr>
              <w:t>计分标准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  <w:lang w:val="en-US" w:eastAsia="zh-CN"/>
              </w:rPr>
              <w:t>统计依据，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highlight w:val="none"/>
              </w:rPr>
              <w:t>由原来的根据当年12月审核数据为统计依据，修改为以当年7月审核数据为统计依据，并适当提高毕业率比例。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E432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分</w:t>
            </w:r>
          </w:p>
        </w:tc>
      </w:tr>
      <w:tr w14:paraId="757CE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6DB4A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B1FD9">
            <w:pPr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创新创业</w:t>
            </w:r>
          </w:p>
          <w:p w14:paraId="758B91F4">
            <w:pPr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教育情况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EBEEE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1.专创思创融合教育有成效（1分）</w:t>
            </w:r>
          </w:p>
          <w:p w14:paraId="17FD2BC8">
            <w:pP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工作有激励有措施，计0.4分；新增专创思创融合课程，1门计0.3分。</w:t>
            </w:r>
          </w:p>
          <w:p w14:paraId="4EA3AF2E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2.中国国际大学生创新大赛组织有成效（1分）</w:t>
            </w:r>
          </w:p>
          <w:p w14:paraId="53596701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工作有激励有措施，计0.4分；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按要求组织完成大赛项目报名数，计0.6分；完成率超过80%，计0.3分。</w:t>
            </w:r>
          </w:p>
          <w:p w14:paraId="78D3723D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3.产创融合平台建设有成效（1分）</w:t>
            </w:r>
          </w:p>
          <w:p w14:paraId="5065F311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有新增创新创业实践基地，计0.5分；新聘创新创业导师2名及以上，计0.5分。</w:t>
            </w:r>
          </w:p>
          <w:p w14:paraId="7C4A3E3E">
            <w:pP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【由创新创业学院核实，其中“有激励有措施”部分依据各学院（部）提供的支撑材料计分，以年度为统计时段。】</w:t>
            </w:r>
          </w:p>
          <w:p w14:paraId="6DAE6C75">
            <w:pP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59172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color w:val="FF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3分</w:t>
            </w:r>
          </w:p>
        </w:tc>
      </w:tr>
      <w:tr w14:paraId="364D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3A24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35B32">
            <w:pPr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本科生到国（境）外、校外交流</w:t>
            </w:r>
          </w:p>
          <w:p w14:paraId="7AFBB396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学习情况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4D9BA">
            <w:pPr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到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国（境）外或校外（博士点授权高校，办学层次应高于我校）交流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人次（含）以上，计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分；1人次（含）以上，计1分。</w:t>
            </w:r>
          </w:p>
          <w:p w14:paraId="25202C96">
            <w:pPr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【由教务处评建办核实，以年度为统计时段，以本科教学状态采集数据为依据。交流学习时间一般应在一学期或以上。】</w:t>
            </w:r>
          </w:p>
          <w:p w14:paraId="6E587CE2">
            <w:pPr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8469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eastAsia="zh-CN" w:bidi="ar"/>
              </w:rPr>
              <w:t>2</w:t>
            </w: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分</w:t>
            </w:r>
          </w:p>
        </w:tc>
      </w:tr>
      <w:tr w14:paraId="18D1A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22058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教学运行与毕业论文（设计）</w:t>
            </w:r>
          </w:p>
          <w:p w14:paraId="58F2C64B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分）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FE256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教学基本运行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4C687">
            <w:pPr>
              <w:spacing w:line="340" w:lineRule="exact"/>
              <w:jc w:val="left"/>
              <w:rPr>
                <w:rFonts w:hint="default" w:ascii="Times New Roman" w:hAnsi="Times New Roman" w:eastAsia="仿宋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lang w:val="en-US" w:eastAsia="zh-CN"/>
              </w:rPr>
              <w:t>本科教学运行良好，计20分；本科教学运行出现失误，但能及时处理与补救，未造成明显影响和损失，计10分；本科教学运行出现较大失误，造成不良影响和重大损失，计0分。</w:t>
            </w:r>
          </w:p>
          <w:p w14:paraId="052D4A00">
            <w:pPr>
              <w:spacing w:line="340" w:lineRule="exact"/>
              <w:jc w:val="left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【由教务处教务科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统筹各科室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核实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计分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，以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年度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为统计时段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以各学院（部）本科教学运行情况为依据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7B6250A8">
            <w:pPr>
              <w:spacing w:line="340" w:lineRule="exact"/>
              <w:jc w:val="left"/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——新增指标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A102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lang w:val="en-US" w:eastAsia="zh-CN"/>
              </w:rPr>
              <w:t>20分</w:t>
            </w:r>
          </w:p>
        </w:tc>
      </w:tr>
      <w:tr w14:paraId="156CE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3672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B6347">
            <w:pPr>
              <w:jc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color w:val="auto"/>
                <w:sz w:val="24"/>
              </w:rPr>
              <w:t>小班授课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EF325">
            <w:pPr>
              <w:widowControl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专业课中30人及以下课堂数占比（%）</w:t>
            </w:r>
          </w:p>
          <w:p w14:paraId="6B630D55">
            <w:pPr>
              <w:widowControl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30%（含）以上，计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20%（含）以上，计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10%（含）以上，计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10%以下，计0分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。</w:t>
            </w:r>
          </w:p>
          <w:p w14:paraId="37E18F7E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【由教务处教务科核实，以学年为统计时段，以本科教学状态采集数据为依据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0F7A8983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——根据原办法考核指标修改，提高考核观测点分值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由原3分提高至5分。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663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分</w:t>
            </w:r>
          </w:p>
        </w:tc>
      </w:tr>
      <w:tr w14:paraId="5F514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5ABF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CD55B">
            <w:pPr>
              <w:jc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color w:val="auto"/>
                <w:sz w:val="24"/>
              </w:rPr>
              <w:t>开课门数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152C9">
            <w:pPr>
              <w:jc w:val="left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开课门数占比（%）=已开课门数/应开课门数</w:t>
            </w:r>
          </w:p>
          <w:p w14:paraId="12A83D1C">
            <w:pPr>
              <w:jc w:val="left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应开课门数=专业系数*学生人数*（0.11+专业数*0.005），其中专业名称中含独秀试验班、地方公费师范生、中外合作办学、中高计划等的按0.5个专业数计，专业数为4以上的，按4计；专业数</w:t>
            </w:r>
            <w:r>
              <w:rPr>
                <w:rFonts w:hint="eastAsia" w:ascii="Times New Roman" w:hAnsi="Times New Roman" w:eastAsia="仿宋" w:cs="Calibri"/>
                <w:color w:val="auto"/>
                <w:sz w:val="24"/>
              </w:rPr>
              <w:t>&lt;</w:t>
            </w: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2，专业系数为0.8，专业数</w:t>
            </w:r>
            <w:r>
              <w:rPr>
                <w:rFonts w:hint="eastAsia" w:ascii="Times New Roman" w:hAnsi="Times New Roman" w:eastAsia="仿宋" w:cs="Calibri"/>
                <w:color w:val="auto"/>
                <w:sz w:val="24"/>
              </w:rPr>
              <w:t>&lt;=</w:t>
            </w: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3，专业系数为0.9，专业数</w:t>
            </w:r>
            <w:r>
              <w:rPr>
                <w:rFonts w:hint="eastAsia" w:ascii="Times New Roman" w:hAnsi="Times New Roman" w:eastAsia="仿宋" w:cs="Calibri"/>
                <w:color w:val="auto"/>
                <w:sz w:val="24"/>
              </w:rPr>
              <w:t>&gt;</w:t>
            </w: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3，专业系数为1。</w:t>
            </w:r>
          </w:p>
          <w:p w14:paraId="039E3F09">
            <w:pPr>
              <w:widowControl/>
              <w:jc w:val="left"/>
              <w:rPr>
                <w:rFonts w:ascii="Times New Roman" w:hAnsi="Times New Roman" w:eastAsia="仿宋" w:cs="仿宋_GB2312"/>
                <w:color w:val="auto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占比</w:t>
            </w:r>
            <w:r>
              <w:rPr>
                <w:rFonts w:ascii="Times New Roman" w:hAnsi="Times New Roman" w:eastAsia="仿宋" w:cs="仿宋_GB2312"/>
                <w:color w:val="auto"/>
                <w:sz w:val="24"/>
              </w:rPr>
              <w:t>达95%（含）以上，计5分；达85%（含）以上，计4分；达70%（含）以上，计2分；达40%（含）以上，计1分；40%以下，计0分。</w:t>
            </w:r>
          </w:p>
          <w:p w14:paraId="2509E4C1">
            <w:pPr>
              <w:jc w:val="left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【由教务处教务科核实，以学年为统计时段，以本科教学状态采集数据为依据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5F22A3F4">
            <w:pPr>
              <w:jc w:val="left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8F26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5分</w:t>
            </w:r>
          </w:p>
        </w:tc>
      </w:tr>
      <w:tr w14:paraId="6FD5E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4C07C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3F4B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color w:val="auto"/>
                <w:sz w:val="24"/>
              </w:rPr>
              <w:t>本科毕业论文（设计）选题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539D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1.（各专业）毕业论文（设计）选题来自教师专业实践、科研课题比例≥50%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</w:p>
          <w:p w14:paraId="60571A49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2.（各专业）以实验、实习、工程实践和社会调查等实践性工作为基础的毕业论文（设计）比例≥50%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</w:p>
          <w:p w14:paraId="3806017F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3.（师范类专业）属于教育理论研究或教学实践相关研究比例≥30%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</w:p>
          <w:p w14:paraId="091144B6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对于有师范生培养专业的学院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部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，若选题占比全部达标，则按照5分计；对于无师范生培养专业的学院，若前两项选题占比达标，则按照5分计。</w:t>
            </w:r>
          </w:p>
          <w:p w14:paraId="3566E1E5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【由教务处实践办核实，以年度为统计时段，以校级毕业论文（设计）系统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数据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7CFBAC26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E0CD2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  <w:highlight w:val="yellow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5分</w:t>
            </w:r>
          </w:p>
        </w:tc>
      </w:tr>
      <w:tr w14:paraId="3DC32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D384D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教学质量监督与保障</w:t>
            </w:r>
          </w:p>
          <w:p w14:paraId="41F86716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（1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分）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28D3C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校级教学督导</w:t>
            </w:r>
          </w:p>
          <w:p w14:paraId="23A804D7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评价情况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2D325">
            <w:pPr>
              <w:widowControl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评价结果优良率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95%（含）以上，计5分；评价结果优良率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90%（含）以上，计4分；优良率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85%（含）以上，计3分；优良率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80%（含）以上，计2分；优良率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70%（含）以上，计1分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70%以下，计0分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。</w:t>
            </w:r>
          </w:p>
          <w:p w14:paraId="029708FA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7F5F0C57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0E316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5分</w:t>
            </w:r>
          </w:p>
        </w:tc>
      </w:tr>
      <w:tr w14:paraId="3527A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C983D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4112B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学院（部）级督导听课与同行评价情况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3716A">
            <w:pPr>
              <w:widowControl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1.学院（部）级督导听课达到学校规定的次数，计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分。</w:t>
            </w:r>
          </w:p>
          <w:p w14:paraId="5CEF6182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2.学院（部）参与同行评价的教师数占比达100%，计2分；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90%（含）以上，计1.5分；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80%（含）以上，计1分；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70%（含）以上，计0.5分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70%以下，计0分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。</w:t>
            </w:r>
          </w:p>
          <w:p w14:paraId="263E798C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418369B1">
            <w:pPr>
              <w:widowControl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8D1E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分</w:t>
            </w:r>
          </w:p>
        </w:tc>
      </w:tr>
      <w:tr w14:paraId="15C39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7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574B7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673FD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学生评教情况</w:t>
            </w:r>
          </w:p>
        </w:tc>
        <w:tc>
          <w:tcPr>
            <w:tcW w:w="4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0B05D">
            <w:pPr>
              <w:widowControl/>
              <w:spacing w:before="0" w:beforeLines="0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评教结果优秀率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9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分；优秀率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达90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分；优秀率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达85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；优秀率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达80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分；优秀率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达70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%（含）以上，计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70%以下，计0分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。</w:t>
            </w:r>
          </w:p>
          <w:p w14:paraId="5C8FF194">
            <w:pPr>
              <w:widowControl/>
              <w:spacing w:before="0" w:beforeLines="0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】</w:t>
            </w:r>
          </w:p>
          <w:p w14:paraId="3F855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——根据原办法考核指标修改，提高考核观测点分值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由原2分提高至5分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AA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color w:val="auto"/>
                <w:kern w:val="0"/>
                <w:sz w:val="24"/>
                <w:lang w:bidi="ar"/>
              </w:rPr>
              <w:t>分</w:t>
            </w:r>
          </w:p>
        </w:tc>
      </w:tr>
    </w:tbl>
    <w:p w14:paraId="3FBD784C">
      <w:pPr>
        <w:spacing w:before="156" w:beforeLines="50" w:line="58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（二）发展性指标（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eastAsia="仿宋_GB2312"/>
          <w:b/>
          <w:bCs/>
          <w:sz w:val="32"/>
          <w:szCs w:val="32"/>
        </w:rPr>
        <w:t>分）</w:t>
      </w:r>
    </w:p>
    <w:p w14:paraId="57C40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ind w:firstLine="528" w:firstLineChars="200"/>
        <w:textAlignment w:val="auto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具体考核当年度各二级学院（部）在本科教学卓越人才培养、专业建设、优秀基层教学组织建设等高水平集体教学业绩，以及学院（部）教师在教学成果奖、教学改革研究项目、教材、教学改革研究论文及案例、课程、竞赛获奖、教学荣誉称号、课堂教学等标志性个人教学业绩方面的情况。该类考核指标的考核分值最高为</w:t>
      </w:r>
      <w:r>
        <w:rPr>
          <w:rFonts w:hint="eastAsia" w:ascii="Times New Roman" w:hAnsi="Times New Roman" w:eastAsia="仿宋"/>
          <w:spacing w:val="-8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 w:eastAsia="仿宋"/>
          <w:spacing w:val="-8"/>
          <w:sz w:val="28"/>
          <w:szCs w:val="32"/>
        </w:rPr>
        <w:t>分，超出</w:t>
      </w:r>
      <w:r>
        <w:rPr>
          <w:rFonts w:hint="eastAsia" w:ascii="Times New Roman" w:hAnsi="Times New Roman" w:eastAsia="仿宋"/>
          <w:spacing w:val="-8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 w:eastAsia="仿宋"/>
          <w:spacing w:val="-8"/>
          <w:sz w:val="28"/>
          <w:szCs w:val="32"/>
        </w:rPr>
        <w:t>分按</w:t>
      </w:r>
      <w:r>
        <w:rPr>
          <w:rFonts w:hint="eastAsia" w:ascii="Times New Roman" w:hAnsi="Times New Roman" w:eastAsia="仿宋"/>
          <w:spacing w:val="-8"/>
          <w:sz w:val="28"/>
          <w:szCs w:val="32"/>
          <w:lang w:val="en-US" w:eastAsia="zh-CN"/>
        </w:rPr>
        <w:t>20</w:t>
      </w:r>
      <w:r>
        <w:rPr>
          <w:rFonts w:hint="eastAsia" w:ascii="Times New Roman" w:hAnsi="Times New Roman" w:eastAsia="仿宋"/>
          <w:spacing w:val="-8"/>
          <w:sz w:val="28"/>
          <w:szCs w:val="32"/>
        </w:rPr>
        <w:t>分计。共设2个二级考核指标、</w:t>
      </w:r>
      <w:r>
        <w:rPr>
          <w:rFonts w:hint="eastAsia" w:ascii="Times New Roman" w:hAnsi="Times New Roman" w:eastAsia="仿宋"/>
          <w:spacing w:val="-8"/>
          <w:sz w:val="28"/>
          <w:szCs w:val="32"/>
          <w:lang w:val="en-US" w:eastAsia="zh-CN"/>
        </w:rPr>
        <w:t>4</w:t>
      </w:r>
      <w:r>
        <w:rPr>
          <w:rFonts w:hint="eastAsia" w:ascii="Times New Roman" w:hAnsi="Times New Roman" w:eastAsia="仿宋"/>
          <w:spacing w:val="-8"/>
          <w:sz w:val="28"/>
          <w:szCs w:val="32"/>
        </w:rPr>
        <w:t>个考核观测点，具体考核内容、考核观测点及分值如下：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740"/>
        <w:gridCol w:w="3890"/>
        <w:gridCol w:w="1459"/>
      </w:tblGrid>
      <w:tr w14:paraId="56053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30" w:type="dxa"/>
            <w:vAlign w:val="center"/>
          </w:tcPr>
          <w:p w14:paraId="31860F37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二级考核指标</w:t>
            </w:r>
          </w:p>
        </w:tc>
        <w:tc>
          <w:tcPr>
            <w:tcW w:w="5630" w:type="dxa"/>
            <w:gridSpan w:val="2"/>
            <w:vAlign w:val="center"/>
          </w:tcPr>
          <w:p w14:paraId="3B2E6E9C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考核观测点</w:t>
            </w:r>
          </w:p>
        </w:tc>
        <w:tc>
          <w:tcPr>
            <w:tcW w:w="1459" w:type="dxa"/>
            <w:vAlign w:val="center"/>
          </w:tcPr>
          <w:p w14:paraId="7A0A0052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分值</w:t>
            </w:r>
          </w:p>
        </w:tc>
      </w:tr>
      <w:tr w14:paraId="61C70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30" w:type="dxa"/>
            <w:vMerge w:val="restart"/>
            <w:vAlign w:val="center"/>
          </w:tcPr>
          <w:p w14:paraId="3EC05F8E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高水平</w:t>
            </w:r>
          </w:p>
          <w:p w14:paraId="3A37D8B7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集体教</w:t>
            </w:r>
          </w:p>
          <w:p w14:paraId="08624737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学业绩</w:t>
            </w:r>
          </w:p>
        </w:tc>
        <w:tc>
          <w:tcPr>
            <w:tcW w:w="1740" w:type="dxa"/>
            <w:vMerge w:val="restart"/>
            <w:vAlign w:val="center"/>
          </w:tcPr>
          <w:p w14:paraId="66199E5F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本科教学卓越人才培养成效</w:t>
            </w:r>
          </w:p>
          <w:p w14:paraId="5FF62857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FF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sz w:val="24"/>
              </w:rPr>
              <w:t>【由教务处高教室核实】</w:t>
            </w:r>
          </w:p>
        </w:tc>
        <w:tc>
          <w:tcPr>
            <w:tcW w:w="3890" w:type="dxa"/>
          </w:tcPr>
          <w:p w14:paraId="71B03297">
            <w:pPr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获批国家级“六卓越一拔尖”人才培养计划项目</w:t>
            </w:r>
          </w:p>
          <w:p w14:paraId="3142514B">
            <w:pPr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72F65A2F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sz w:val="24"/>
              </w:rPr>
              <w:t>0分/个</w:t>
            </w:r>
          </w:p>
        </w:tc>
      </w:tr>
      <w:tr w14:paraId="2D32F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30" w:type="dxa"/>
            <w:vMerge w:val="continue"/>
            <w:vAlign w:val="center"/>
          </w:tcPr>
          <w:p w14:paraId="3BF17F51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70BEA51E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</w:tcPr>
          <w:p w14:paraId="130E713B">
            <w:pPr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获批自治区级“六卓越一拔尖”人才培养计划项目</w:t>
            </w:r>
          </w:p>
          <w:p w14:paraId="17EF7234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调整为18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2F986706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sz w:val="24"/>
              </w:rPr>
              <w:t>分/个</w:t>
            </w:r>
          </w:p>
        </w:tc>
      </w:tr>
      <w:tr w14:paraId="4E112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30" w:type="dxa"/>
            <w:vMerge w:val="continue"/>
            <w:vAlign w:val="center"/>
          </w:tcPr>
          <w:p w14:paraId="2828EFA6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04EA70FC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D5B665E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获批自治区级基础学科拔尖学生培养基地</w:t>
            </w:r>
          </w:p>
          <w:p w14:paraId="45120FB8">
            <w:pPr>
              <w:jc w:val="both"/>
              <w:rPr>
                <w:rFonts w:hint="eastAsia" w:ascii="Times New Roman" w:hAnsi="Times New Roman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65A5FDDA">
            <w:pPr>
              <w:jc w:val="center"/>
              <w:rPr>
                <w:rFonts w:hint="eastAsia" w:ascii="Times New Roman" w:hAnsi="Times New Roman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15分/个</w:t>
            </w:r>
          </w:p>
        </w:tc>
      </w:tr>
      <w:tr w14:paraId="6F8AA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30" w:type="dxa"/>
            <w:vMerge w:val="continue"/>
            <w:vAlign w:val="center"/>
          </w:tcPr>
          <w:p w14:paraId="51902967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7CD2304F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07F55E84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获批通过教务处组织审批申报的、以“四新”建设和本科人才培养为核心的自治区级现代产业学院等特色学院</w:t>
            </w:r>
          </w:p>
          <w:p w14:paraId="72F0EC4A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283E9506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10分/个</w:t>
            </w:r>
          </w:p>
        </w:tc>
      </w:tr>
      <w:tr w14:paraId="131BB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7ACCA106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restart"/>
            <w:vAlign w:val="center"/>
          </w:tcPr>
          <w:p w14:paraId="2566D010">
            <w:pPr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本科专业建设成效</w:t>
            </w:r>
          </w:p>
          <w:p w14:paraId="770D3364">
            <w:pPr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【由教务处高教室、评建办核实】</w:t>
            </w:r>
          </w:p>
        </w:tc>
        <w:tc>
          <w:tcPr>
            <w:tcW w:w="3890" w:type="dxa"/>
            <w:vAlign w:val="center"/>
          </w:tcPr>
          <w:p w14:paraId="6247DF75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通过师范类专业三级认证</w:t>
            </w:r>
          </w:p>
          <w:p w14:paraId="33C52137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4E2B051E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0分/个</w:t>
            </w:r>
          </w:p>
        </w:tc>
      </w:tr>
      <w:tr w14:paraId="051BC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50B8AC9B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44FF5C79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02F18A9C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通过师范类专业二级认证</w:t>
            </w:r>
          </w:p>
          <w:p w14:paraId="72228C11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68442BB6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15分/个</w:t>
            </w:r>
          </w:p>
        </w:tc>
      </w:tr>
      <w:tr w14:paraId="2BCA6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44069123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43A24E27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2188112A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通过工程教育专业认证</w:t>
            </w:r>
          </w:p>
          <w:p w14:paraId="1EDB0081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调整为18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079A9557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分/个</w:t>
            </w:r>
          </w:p>
        </w:tc>
      </w:tr>
      <w:tr w14:paraId="40E91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67FE2091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334950E3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25E259B0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获批国家级一流专业</w:t>
            </w:r>
          </w:p>
          <w:p w14:paraId="2BDECD95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调整为18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70E79DDF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分/个</w:t>
            </w:r>
          </w:p>
        </w:tc>
      </w:tr>
      <w:tr w14:paraId="7AB07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1A3C9D8B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7B6B5AB7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54F750A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获批自治区级一流专业</w:t>
            </w:r>
          </w:p>
          <w:p w14:paraId="3C289913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1CA29697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10分/个</w:t>
            </w:r>
          </w:p>
        </w:tc>
      </w:tr>
      <w:tr w14:paraId="0961E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30" w:type="dxa"/>
            <w:vMerge w:val="continue"/>
            <w:vAlign w:val="center"/>
          </w:tcPr>
          <w:p w14:paraId="50B25998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4DFFBF8A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AEBE7E2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通过国家级一流专业验收</w:t>
            </w:r>
          </w:p>
          <w:p w14:paraId="614FE9BF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6F0DB3B4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10分/个</w:t>
            </w:r>
          </w:p>
        </w:tc>
      </w:tr>
      <w:tr w14:paraId="76B6C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230" w:type="dxa"/>
            <w:vMerge w:val="continue"/>
            <w:vAlign w:val="center"/>
          </w:tcPr>
          <w:p w14:paraId="09947B88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00C21E6E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12587FBD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通过自治区级一流专业验收</w:t>
            </w:r>
          </w:p>
          <w:p w14:paraId="2EED06B1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18711ABC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5分/个</w:t>
            </w:r>
          </w:p>
        </w:tc>
      </w:tr>
      <w:tr w14:paraId="5729E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30" w:type="dxa"/>
            <w:vMerge w:val="continue"/>
            <w:vAlign w:val="center"/>
          </w:tcPr>
          <w:p w14:paraId="44249F7D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restart"/>
            <w:vAlign w:val="center"/>
          </w:tcPr>
          <w:p w14:paraId="7FECB39A">
            <w:pPr>
              <w:jc w:val="left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优秀基层教学组织建设成效</w:t>
            </w:r>
          </w:p>
          <w:p w14:paraId="7CF614A4">
            <w:pPr>
              <w:jc w:val="left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【由教务处高教室核实】</w:t>
            </w:r>
          </w:p>
        </w:tc>
        <w:tc>
          <w:tcPr>
            <w:tcW w:w="3890" w:type="dxa"/>
            <w:vAlign w:val="center"/>
          </w:tcPr>
          <w:p w14:paraId="3D20A9DD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获国家级优秀基层教学组织奖（含教学团队、优秀教研室、虚拟教研室、课程思政示范基层教学组织等，不含“黄大年式教师团队”等教师类组织）</w:t>
            </w:r>
          </w:p>
          <w:p w14:paraId="457692C6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由原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val="en-US" w:eastAsia="zh-CN"/>
              </w:rPr>
              <w:t>调整为20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FF0000"/>
                <w:sz w:val="24"/>
                <w:lang w:eastAsia="zh-CN"/>
              </w:rPr>
              <w:t>。</w:t>
            </w:r>
          </w:p>
        </w:tc>
        <w:tc>
          <w:tcPr>
            <w:tcW w:w="1459" w:type="dxa"/>
            <w:vAlign w:val="center"/>
          </w:tcPr>
          <w:p w14:paraId="37735B54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0分/个</w:t>
            </w:r>
          </w:p>
        </w:tc>
      </w:tr>
      <w:tr w14:paraId="3D871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30" w:type="dxa"/>
            <w:vMerge w:val="continue"/>
            <w:vAlign w:val="center"/>
          </w:tcPr>
          <w:p w14:paraId="0C664E51">
            <w:pPr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</w:tcPr>
          <w:p w14:paraId="65D8E837">
            <w:pPr>
              <w:rPr>
                <w:rFonts w:ascii="Times New Roman" w:hAnsi="Times New Roman" w:eastAsia="仿宋"/>
                <w:color w:val="auto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1FA5D22">
            <w:pPr>
              <w:jc w:val="both"/>
              <w:rPr>
                <w:rFonts w:hint="eastAsia"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获自治区级优秀基层教学组织奖（含教学团队、优秀教研室、虚拟教研室、课程思政示范基层教学组织等，不含“黄大年式教师团队”等教师类组织）</w:t>
            </w:r>
          </w:p>
          <w:p w14:paraId="05DF4DBB">
            <w:pPr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——未修改</w:t>
            </w:r>
          </w:p>
        </w:tc>
        <w:tc>
          <w:tcPr>
            <w:tcW w:w="1459" w:type="dxa"/>
            <w:vAlign w:val="center"/>
          </w:tcPr>
          <w:p w14:paraId="2515A06A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10分/个</w:t>
            </w:r>
          </w:p>
        </w:tc>
      </w:tr>
      <w:tr w14:paraId="7D4D9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30" w:type="dxa"/>
            <w:vMerge w:val="restart"/>
            <w:vAlign w:val="center"/>
          </w:tcPr>
          <w:p w14:paraId="3CA55B45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标志性</w:t>
            </w:r>
          </w:p>
          <w:p w14:paraId="4EB3DB0E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个人教</w:t>
            </w:r>
          </w:p>
          <w:p w14:paraId="246EC6DF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</w:rPr>
              <w:t>学业绩</w:t>
            </w:r>
          </w:p>
        </w:tc>
        <w:tc>
          <w:tcPr>
            <w:tcW w:w="1740" w:type="dxa"/>
            <w:vMerge w:val="restart"/>
            <w:vAlign w:val="center"/>
          </w:tcPr>
          <w:p w14:paraId="3B3948C7">
            <w:pPr>
              <w:jc w:val="center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学院（部）教师以第一完成人获得学校认定的A级及以上本科教学业绩情况</w:t>
            </w:r>
          </w:p>
          <w:p w14:paraId="11443EA8">
            <w:pPr>
              <w:jc w:val="center"/>
              <w:rPr>
                <w:rFonts w:hint="eastAsia"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【由教务处各相关科室核实】</w:t>
            </w:r>
          </w:p>
          <w:p w14:paraId="12D829DB">
            <w:pPr>
              <w:jc w:val="center"/>
              <w:rPr>
                <w:rFonts w:ascii="Times New Roman" w:hAnsi="Times New Roman" w:eastAsia="仿宋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</w:rPr>
              <w:t>——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lang w:val="en-US" w:eastAsia="zh-CN"/>
              </w:rPr>
              <w:t>未修改</w:t>
            </w:r>
          </w:p>
        </w:tc>
        <w:tc>
          <w:tcPr>
            <w:tcW w:w="3890" w:type="dxa"/>
            <w:vAlign w:val="center"/>
          </w:tcPr>
          <w:p w14:paraId="361CFB84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获T级本科教学业绩</w:t>
            </w:r>
          </w:p>
        </w:tc>
        <w:tc>
          <w:tcPr>
            <w:tcW w:w="1459" w:type="dxa"/>
            <w:vAlign w:val="center"/>
          </w:tcPr>
          <w:p w14:paraId="346F703D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20分/项</w:t>
            </w:r>
          </w:p>
        </w:tc>
      </w:tr>
      <w:tr w14:paraId="69A14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30" w:type="dxa"/>
            <w:vMerge w:val="continue"/>
            <w:vAlign w:val="center"/>
          </w:tcPr>
          <w:p w14:paraId="60F0E147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22808A63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5B016B2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获A1级本科教学业绩</w:t>
            </w:r>
          </w:p>
        </w:tc>
        <w:tc>
          <w:tcPr>
            <w:tcW w:w="1459" w:type="dxa"/>
            <w:vAlign w:val="center"/>
          </w:tcPr>
          <w:p w14:paraId="3EB62A8A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分/项</w:t>
            </w:r>
          </w:p>
        </w:tc>
      </w:tr>
      <w:tr w14:paraId="027E7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30" w:type="dxa"/>
            <w:vMerge w:val="continue"/>
            <w:vAlign w:val="center"/>
          </w:tcPr>
          <w:p w14:paraId="73714A47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5D33F42D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3D2D24C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获A2级本科教学业绩</w:t>
            </w:r>
          </w:p>
        </w:tc>
        <w:tc>
          <w:tcPr>
            <w:tcW w:w="1459" w:type="dxa"/>
            <w:vAlign w:val="center"/>
          </w:tcPr>
          <w:p w14:paraId="1D34B0AD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分/项</w:t>
            </w:r>
          </w:p>
        </w:tc>
      </w:tr>
      <w:tr w14:paraId="7CE5E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30" w:type="dxa"/>
            <w:vMerge w:val="continue"/>
            <w:vAlign w:val="center"/>
          </w:tcPr>
          <w:p w14:paraId="5760E171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669B0510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341148E7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获A3级本科教学业绩</w:t>
            </w:r>
          </w:p>
        </w:tc>
        <w:tc>
          <w:tcPr>
            <w:tcW w:w="1459" w:type="dxa"/>
            <w:vAlign w:val="center"/>
          </w:tcPr>
          <w:p w14:paraId="10448C67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分/项</w:t>
            </w:r>
          </w:p>
        </w:tc>
      </w:tr>
      <w:tr w14:paraId="7BA1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30" w:type="dxa"/>
            <w:vMerge w:val="continue"/>
            <w:vAlign w:val="center"/>
          </w:tcPr>
          <w:p w14:paraId="0306AC96">
            <w:pPr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672C87B5">
            <w:pPr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0075201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</w:rPr>
              <w:t>获A4级本科教学业绩</w:t>
            </w:r>
          </w:p>
        </w:tc>
        <w:tc>
          <w:tcPr>
            <w:tcW w:w="1459" w:type="dxa"/>
            <w:vAlign w:val="center"/>
          </w:tcPr>
          <w:p w14:paraId="27CCA9E9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/>
                <w:color w:val="auto"/>
                <w:sz w:val="24"/>
              </w:rPr>
              <w:t>分/项</w:t>
            </w:r>
          </w:p>
        </w:tc>
      </w:tr>
    </w:tbl>
    <w:p w14:paraId="16C05483">
      <w:pPr>
        <w:spacing w:before="156" w:beforeLines="50"/>
        <w:ind w:firstLine="482" w:firstLineChars="200"/>
        <w:rPr>
          <w:rFonts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>备注：</w:t>
      </w:r>
    </w:p>
    <w:p w14:paraId="6E9E9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b w:val="0"/>
          <w:bCs w:val="0"/>
          <w:sz w:val="24"/>
        </w:rPr>
        <w:t xml:space="preserve">1. </w:t>
      </w:r>
      <w:r>
        <w:rPr>
          <w:rFonts w:hint="eastAsia" w:ascii="Times New Roman" w:hAnsi="Times New Roman" w:eastAsia="仿宋"/>
          <w:sz w:val="24"/>
        </w:rPr>
        <w:t>教学业绩包括教学成果奖、教学改革研究项目、教材、教学改革研究论文及案例、课程、竞赛获奖、教学荣誉称号、课堂教学等八类业绩，具体根据学校教学业绩分类分级评价认定与计分办法认定。</w:t>
      </w:r>
    </w:p>
    <w:p w14:paraId="756CF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2. 上述业绩均以年度为统计时段。</w:t>
      </w:r>
    </w:p>
    <w:p w14:paraId="76912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仿宋"/>
          <w:sz w:val="24"/>
          <w:lang w:val="en-US" w:eastAsia="zh-CN"/>
        </w:rPr>
      </w:pPr>
      <w:r>
        <w:rPr>
          <w:rFonts w:hint="eastAsia" w:ascii="Times New Roman" w:hAnsi="Times New Roman" w:eastAsia="仿宋"/>
          <w:sz w:val="24"/>
          <w:lang w:val="en-US" w:eastAsia="zh-CN"/>
        </w:rPr>
        <w:t>3. 对于未纳入以上考核观测点范围，但确属高水平、标志性教学业绩的，由学校另行研究决定是否列入考核统计范围。</w:t>
      </w:r>
    </w:p>
    <w:p w14:paraId="1A6B623D">
      <w:pPr>
        <w:spacing w:before="156" w:beforeLines="50" w:line="580" w:lineRule="exact"/>
        <w:ind w:firstLine="643" w:firstLineChars="200"/>
        <w:rPr>
          <w:rFonts w:hint="eastAsia" w:eastAsia="仿宋_GB2312"/>
          <w:b/>
          <w:bCs/>
          <w:sz w:val="32"/>
          <w:szCs w:val="32"/>
          <w:lang w:eastAsia="zh-CN"/>
        </w:rPr>
      </w:pPr>
      <w:r>
        <w:rPr>
          <w:rFonts w:hint="eastAsia" w:eastAsia="仿宋_GB2312"/>
          <w:b/>
          <w:bCs/>
          <w:sz w:val="32"/>
          <w:szCs w:val="32"/>
        </w:rPr>
        <w:t>（三）约束性指标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未修改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）</w:t>
      </w:r>
    </w:p>
    <w:p w14:paraId="6852AB42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主要考核各学院（部）在教学运行与管理、毕业论文（设计）、教学质量保障底线、红线方面的情况。该类考核指标为负分分值，分值不设下限，根据实际情况计分。共设3个二级考核指标、5个考核观测点，具体考核内容及分值如下：</w:t>
      </w:r>
    </w:p>
    <w:tbl>
      <w:tblPr>
        <w:tblStyle w:val="7"/>
        <w:tblW w:w="816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665"/>
        <w:gridCol w:w="5116"/>
      </w:tblGrid>
      <w:tr w14:paraId="6931D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86" w:type="dxa"/>
            <w:shd w:val="clear" w:color="auto" w:fill="auto"/>
            <w:vAlign w:val="center"/>
          </w:tcPr>
          <w:p w14:paraId="3CD1E7AC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000000"/>
                <w:kern w:val="0"/>
                <w:sz w:val="24"/>
                <w:lang w:bidi="ar"/>
              </w:rPr>
              <w:t>二级考核指标</w:t>
            </w:r>
          </w:p>
        </w:tc>
        <w:tc>
          <w:tcPr>
            <w:tcW w:w="6781" w:type="dxa"/>
            <w:gridSpan w:val="2"/>
            <w:shd w:val="clear" w:color="auto" w:fill="auto"/>
            <w:vAlign w:val="center"/>
          </w:tcPr>
          <w:p w14:paraId="0D5CAB04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000000"/>
                <w:kern w:val="0"/>
                <w:sz w:val="24"/>
                <w:lang w:bidi="ar"/>
              </w:rPr>
              <w:t>考核观测点及分值</w:t>
            </w:r>
          </w:p>
        </w:tc>
      </w:tr>
      <w:tr w14:paraId="6255C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6" w:type="dxa"/>
            <w:vMerge w:val="restart"/>
            <w:shd w:val="clear" w:color="auto" w:fill="auto"/>
            <w:vAlign w:val="center"/>
          </w:tcPr>
          <w:p w14:paraId="7A28CB5C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sz w:val="24"/>
              </w:rPr>
              <w:t>教学运行与管理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4FCB10D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教授给本科生授课情况</w:t>
            </w:r>
          </w:p>
        </w:tc>
        <w:tc>
          <w:tcPr>
            <w:tcW w:w="5116" w:type="dxa"/>
            <w:shd w:val="clear" w:color="auto" w:fill="auto"/>
            <w:vAlign w:val="center"/>
          </w:tcPr>
          <w:p w14:paraId="0A0E8AA8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学年内主讲本科生课程的副高级以上职称专任教师授课比例未达到100%，按5分进行扣分。</w:t>
            </w:r>
          </w:p>
          <w:p w14:paraId="434A2470">
            <w:pPr>
              <w:jc w:val="both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【由教务处教务科核实】</w:t>
            </w:r>
          </w:p>
        </w:tc>
      </w:tr>
      <w:tr w14:paraId="42C37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1C60EBE9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6A76E59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教学秩序</w:t>
            </w:r>
          </w:p>
        </w:tc>
        <w:tc>
          <w:tcPr>
            <w:tcW w:w="5116" w:type="dxa"/>
            <w:shd w:val="clear" w:color="auto" w:fill="auto"/>
            <w:vAlign w:val="center"/>
          </w:tcPr>
          <w:p w14:paraId="0D05FA36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违反学校本科教学调课、停课、代课管理办法规定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进行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调停课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  <w:lang w:val="en-US" w:eastAsia="zh-CN"/>
              </w:rPr>
              <w:t>代课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，按1分/人次进行扣分。</w:t>
            </w:r>
          </w:p>
          <w:p w14:paraId="52A38E44">
            <w:pPr>
              <w:jc w:val="both"/>
              <w:rPr>
                <w:rFonts w:ascii="Times New Roman" w:hAnsi="Times New Roman" w:eastAsia="仿宋" w:cs="仿宋_GB2312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【由教务处教务科核实】</w:t>
            </w:r>
          </w:p>
        </w:tc>
      </w:tr>
      <w:tr w14:paraId="3AB57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86" w:type="dxa"/>
            <w:shd w:val="clear" w:color="auto" w:fill="auto"/>
            <w:vAlign w:val="center"/>
          </w:tcPr>
          <w:p w14:paraId="2E28A8F4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000000"/>
                <w:sz w:val="24"/>
              </w:rPr>
              <w:t>毕业论文（设计）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2088254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本科毕业论文（设计）抽检</w:t>
            </w:r>
          </w:p>
        </w:tc>
        <w:tc>
          <w:tcPr>
            <w:tcW w:w="5116" w:type="dxa"/>
            <w:shd w:val="clear" w:color="auto" w:fill="auto"/>
            <w:vAlign w:val="center"/>
          </w:tcPr>
          <w:p w14:paraId="6C528D81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在教育部本科毕业论文（设计）抽检中被认定为“存在问题论文”的，按5分/篇进行扣分。</w:t>
            </w:r>
          </w:p>
          <w:p w14:paraId="3BDFECEA">
            <w:pPr>
              <w:jc w:val="both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【由教务处实践办核实，以教育部毕业论文（设计）抽检结果为依据】</w:t>
            </w:r>
          </w:p>
        </w:tc>
      </w:tr>
      <w:tr w14:paraId="01C60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86" w:type="dxa"/>
            <w:vMerge w:val="restart"/>
            <w:shd w:val="clear" w:color="auto" w:fill="auto"/>
            <w:vAlign w:val="center"/>
          </w:tcPr>
          <w:p w14:paraId="3B5C8D3E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000000"/>
                <w:sz w:val="24"/>
              </w:rPr>
              <w:t>质量保障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E6625CD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教学差错行为</w:t>
            </w:r>
          </w:p>
        </w:tc>
        <w:tc>
          <w:tcPr>
            <w:tcW w:w="5116" w:type="dxa"/>
            <w:shd w:val="clear" w:color="auto" w:fill="auto"/>
            <w:vAlign w:val="center"/>
          </w:tcPr>
          <w:p w14:paraId="2B26ECD7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发生重大教学事故，按10分/起扣分；发生严重教学事故，按8分/起扣分；发生一般教学事故，按5分/起扣分；发生教学违规行为，按1分/起扣分。二级学院（部）主动要求认定的教学差错行为不扣分。</w:t>
            </w:r>
          </w:p>
          <w:p w14:paraId="46F31247">
            <w:pPr>
              <w:jc w:val="both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【由教务处评建办核实】</w:t>
            </w:r>
          </w:p>
        </w:tc>
      </w:tr>
      <w:tr w14:paraId="5CF41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4A142A8C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016BC568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专业认证状态</w:t>
            </w:r>
          </w:p>
          <w:p w14:paraId="297826B1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保持监控</w:t>
            </w:r>
          </w:p>
        </w:tc>
        <w:tc>
          <w:tcPr>
            <w:tcW w:w="5116" w:type="dxa"/>
            <w:shd w:val="clear" w:color="auto" w:fill="auto"/>
            <w:vAlign w:val="center"/>
          </w:tcPr>
          <w:p w14:paraId="33096633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未按要求保持认证状态，被终止认证有效期的，按15分/专业扣分；未按要求提交专业认证整改报告、年度报备、中期审核材料，受到上级部门/评估机构通报的，按5分/专业扣分。</w:t>
            </w:r>
          </w:p>
          <w:p w14:paraId="6E5571EA">
            <w:pPr>
              <w:jc w:val="both"/>
              <w:rPr>
                <w:rFonts w:ascii="Times New Roman" w:hAnsi="Times New Roman" w:eastAsia="仿宋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【由教务处评建办核实】</w:t>
            </w:r>
          </w:p>
        </w:tc>
      </w:tr>
    </w:tbl>
    <w:p w14:paraId="19278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80" w:firstLineChars="200"/>
        <w:textAlignment w:val="auto"/>
        <w:rPr>
          <w:rFonts w:hint="eastAsia" w:ascii="Times New Roman" w:hAnsi="Times New Roman" w:eastAsia="仿宋"/>
          <w:sz w:val="24"/>
          <w:lang w:val="en-US" w:eastAsia="zh-CN"/>
        </w:rPr>
      </w:pPr>
      <w:r>
        <w:rPr>
          <w:rFonts w:hint="eastAsia" w:ascii="Times New Roman" w:hAnsi="Times New Roman" w:eastAsia="仿宋"/>
          <w:sz w:val="24"/>
          <w:lang w:val="en-US" w:eastAsia="zh-CN"/>
        </w:rPr>
        <w:t>备注：以上考核观测点均以年度为统计时段。</w:t>
      </w:r>
    </w:p>
    <w:p w14:paraId="5A356FC0">
      <w:pPr>
        <w:spacing w:before="156" w:beforeLines="50" w:line="58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（四）考核总分值计算</w:t>
      </w:r>
    </w:p>
    <w:p w14:paraId="135CF7BB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各二级学院（部）基础性考核指标分值、发展性考核指标分值、约束性考核指标分值相加，即为二级学院（部）本科教育教学工作考核总分值，计算公式如下：</w:t>
      </w:r>
    </w:p>
    <w:p w14:paraId="6D6AD183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二级学院（部）本科教育教学工作考核总分值=基础性考核指标分值+发展性考核指标分值+约束性考核指标分值</w:t>
      </w:r>
      <w:r>
        <w:rPr>
          <w:rFonts w:hint="eastAsia" w:ascii="Times New Roman" w:hAnsi="Times New Roman" w:eastAsia="仿宋"/>
          <w:spacing w:val="-8"/>
          <w:sz w:val="28"/>
          <w:szCs w:val="32"/>
          <w:lang w:eastAsia="zh-CN"/>
        </w:rPr>
        <w:t>。</w:t>
      </w:r>
    </w:p>
    <w:p w14:paraId="301F11EB">
      <w:pPr>
        <w:spacing w:before="156" w:beforeLines="50" w:line="580" w:lineRule="exact"/>
        <w:ind w:firstLine="665" w:firstLineChars="207"/>
        <w:rPr>
          <w:rFonts w:ascii="黑体" w:eastAsia="黑体"/>
          <w:b/>
          <w:bCs/>
          <w:sz w:val="32"/>
          <w:szCs w:val="32"/>
        </w:rPr>
      </w:pPr>
      <w:r>
        <w:rPr>
          <w:rFonts w:hint="eastAsia" w:hAnsi="黑体" w:eastAsia="黑体"/>
          <w:b/>
          <w:sz w:val="32"/>
          <w:szCs w:val="32"/>
        </w:rPr>
        <w:t>五、</w:t>
      </w:r>
      <w:r>
        <w:rPr>
          <w:rFonts w:hint="eastAsia" w:ascii="黑体" w:eastAsia="黑体"/>
          <w:b/>
          <w:bCs/>
          <w:sz w:val="32"/>
          <w:szCs w:val="32"/>
        </w:rPr>
        <w:t>考核程序</w:t>
      </w:r>
    </w:p>
    <w:p w14:paraId="4566D6A1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（一）每年12月，根据学校关于二级学院（部）年度考核工作部署，教务处/教师教学发展中心发布本年度本科教育教学考核工作通知。</w:t>
      </w:r>
    </w:p>
    <w:p w14:paraId="3E82497B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（二）教务处/教师教学发展中心按学校本科教育教学工作考核指标的内容，根据已有数据对各二级学院（部）进行初评，并将初评结果反馈至各二级学院（部）核对。</w:t>
      </w:r>
    </w:p>
    <w:p w14:paraId="2478DD1F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（三）二级学院（部）根据实际情况对初评结果进行核对，如有补充或修改的，须提供相关证明材料。</w:t>
      </w:r>
    </w:p>
    <w:p w14:paraId="7B253EB0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（四）教务处/教师教学发展中心根据二级学院（部）反馈的核对意见进行复评，将复评结果在全校范围内进行公示。</w:t>
      </w:r>
    </w:p>
    <w:p w14:paraId="5F7A9198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（五）教务处/教师教学发展中心将经公示无异议的二级学院（部）本科教育教学工作考核分值报送人事处，由人事处统筹开展全校二级学院（部）综合目标考核工作。</w:t>
      </w:r>
    </w:p>
    <w:p w14:paraId="3D08AFFD">
      <w:pPr>
        <w:spacing w:before="156" w:beforeLines="50" w:after="156" w:afterLines="50" w:line="580" w:lineRule="exact"/>
        <w:ind w:firstLine="665" w:firstLineChars="207"/>
        <w:rPr>
          <w:rFonts w:hAnsi="黑体" w:eastAsia="黑体"/>
          <w:b/>
          <w:sz w:val="32"/>
          <w:szCs w:val="32"/>
        </w:rPr>
      </w:pPr>
      <w:r>
        <w:rPr>
          <w:rFonts w:hint="eastAsia" w:hAnsi="黑体" w:eastAsia="黑体"/>
          <w:b/>
          <w:sz w:val="32"/>
          <w:szCs w:val="32"/>
        </w:rPr>
        <w:t>四、附则</w:t>
      </w:r>
    </w:p>
    <w:p w14:paraId="0C7A20AA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本办法由教务处/教师教学发展中心负责解释，自发布之日起执行。</w:t>
      </w:r>
    </w:p>
    <w:p w14:paraId="00C33631">
      <w:pPr>
        <w:spacing w:line="580" w:lineRule="exact"/>
        <w:rPr>
          <w:rFonts w:eastAsia="仿宋_GB2312"/>
          <w:bCs/>
          <w:sz w:val="28"/>
          <w:szCs w:val="28"/>
        </w:rPr>
      </w:pPr>
    </w:p>
    <w:p w14:paraId="434CF3D8">
      <w:pPr>
        <w:spacing w:line="580" w:lineRule="exact"/>
        <w:rPr>
          <w:rFonts w:eastAsia="仿宋_GB2312"/>
          <w:bCs/>
          <w:sz w:val="28"/>
          <w:szCs w:val="28"/>
        </w:rPr>
      </w:pPr>
    </w:p>
    <w:p w14:paraId="31A738A7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附件：</w:t>
      </w:r>
    </w:p>
    <w:p w14:paraId="77542392">
      <w:pPr>
        <w:spacing w:line="580" w:lineRule="exact"/>
        <w:ind w:firstLine="528" w:firstLineChars="200"/>
        <w:rPr>
          <w:rFonts w:hint="eastAsia" w:ascii="Times New Roman" w:hAnsi="Times New Roman" w:eastAsia="仿宋"/>
          <w:spacing w:val="-8"/>
          <w:sz w:val="28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"/>
          <w:spacing w:val="-8"/>
          <w:sz w:val="28"/>
          <w:szCs w:val="32"/>
        </w:rPr>
        <w:t>广西师范大学二级学院（部）本科教育教学工作考核指标</w:t>
      </w:r>
    </w:p>
    <w:p w14:paraId="51A0E29B">
      <w:pPr>
        <w:jc w:val="both"/>
        <w:rPr>
          <w:rFonts w:hint="eastAsia" w:ascii="华文中宋" w:hAnsi="华文中宋" w:eastAsia="华文中宋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</w:t>
      </w:r>
    </w:p>
    <w:p w14:paraId="7B073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广西师范大学二级学院（部）本科教育教学工作考核指标</w:t>
      </w:r>
    </w:p>
    <w:tbl>
      <w:tblPr>
        <w:tblStyle w:val="7"/>
        <w:tblW w:w="141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449"/>
        <w:gridCol w:w="1691"/>
        <w:gridCol w:w="8305"/>
        <w:gridCol w:w="1095"/>
      </w:tblGrid>
      <w:tr w14:paraId="21751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tblHeader/>
          <w:jc w:val="center"/>
        </w:trPr>
        <w:tc>
          <w:tcPr>
            <w:tcW w:w="1624" w:type="dxa"/>
            <w:noWrap w:val="0"/>
            <w:vAlign w:val="center"/>
          </w:tcPr>
          <w:p w14:paraId="247A82C1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</w:rPr>
              <w:t>一级指标</w:t>
            </w:r>
          </w:p>
        </w:tc>
        <w:tc>
          <w:tcPr>
            <w:tcW w:w="1449" w:type="dxa"/>
            <w:noWrap w:val="0"/>
            <w:vAlign w:val="center"/>
          </w:tcPr>
          <w:p w14:paraId="4375144D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</w:rPr>
              <w:t>二级指标</w:t>
            </w:r>
          </w:p>
        </w:tc>
        <w:tc>
          <w:tcPr>
            <w:tcW w:w="11091" w:type="dxa"/>
            <w:gridSpan w:val="3"/>
            <w:noWrap w:val="0"/>
            <w:vAlign w:val="center"/>
          </w:tcPr>
          <w:p w14:paraId="72C40740">
            <w:pPr>
              <w:spacing w:line="340" w:lineRule="exact"/>
              <w:jc w:val="center"/>
              <w:rPr>
                <w:rFonts w:hint="eastAsia" w:ascii="Times New Roman" w:hAnsi="Times New Roman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</w:rPr>
              <w:t>考核观测点及分值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满分100分</w:t>
            </w:r>
            <w:r>
              <w:rPr>
                <w:rFonts w:hint="eastAsia" w:ascii="Times New Roman" w:hAnsi="Times New Roman" w:eastAsia="仿宋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 w14:paraId="4259C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1624" w:type="dxa"/>
            <w:vMerge w:val="restart"/>
            <w:noWrap w:val="0"/>
            <w:vAlign w:val="center"/>
          </w:tcPr>
          <w:p w14:paraId="31C1CCC0">
            <w:pPr>
              <w:spacing w:line="340" w:lineRule="exact"/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基础性指标</w:t>
            </w:r>
          </w:p>
          <w:p w14:paraId="7B8BF93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3D09627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领导重视与队伍建设（15分）</w:t>
            </w:r>
          </w:p>
        </w:tc>
        <w:tc>
          <w:tcPr>
            <w:tcW w:w="1691" w:type="dxa"/>
            <w:noWrap w:val="0"/>
            <w:vAlign w:val="center"/>
          </w:tcPr>
          <w:p w14:paraId="1EFAE5F7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学院（部）</w:t>
            </w:r>
          </w:p>
          <w:p w14:paraId="22361447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领导班子</w:t>
            </w:r>
          </w:p>
          <w:p w14:paraId="0D1F4F92">
            <w:pPr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成员听课情况</w:t>
            </w:r>
          </w:p>
        </w:tc>
        <w:tc>
          <w:tcPr>
            <w:tcW w:w="8305" w:type="dxa"/>
            <w:noWrap w:val="0"/>
            <w:vAlign w:val="center"/>
          </w:tcPr>
          <w:p w14:paraId="2934A215">
            <w:pP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达到学校规定的听课次数标准，计4分。</w:t>
            </w:r>
          </w:p>
          <w:p w14:paraId="07591101">
            <w:pPr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【由教务处评建办核实，以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学年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为统计时段，以学校教学质量综合评价与分析系统数据为依据】</w:t>
            </w:r>
          </w:p>
        </w:tc>
        <w:tc>
          <w:tcPr>
            <w:tcW w:w="1095" w:type="dxa"/>
            <w:noWrap w:val="0"/>
            <w:vAlign w:val="center"/>
          </w:tcPr>
          <w:p w14:paraId="61F2C4F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4分</w:t>
            </w:r>
          </w:p>
        </w:tc>
      </w:tr>
      <w:tr w14:paraId="1DDE76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4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43BA019B">
            <w:pPr>
              <w:spacing w:line="340" w:lineRule="exact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1F000D58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noWrap w:val="0"/>
            <w:vAlign w:val="center"/>
          </w:tcPr>
          <w:p w14:paraId="5C0BDDF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基层教学组织建设情况</w:t>
            </w:r>
          </w:p>
        </w:tc>
        <w:tc>
          <w:tcPr>
            <w:tcW w:w="8305" w:type="dxa"/>
            <w:noWrap w:val="0"/>
            <w:vAlign w:val="center"/>
          </w:tcPr>
          <w:p w14:paraId="3FF2CC1B">
            <w:pP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1.制定有规范的基层教学组织建设规划、方案、管理办法等，计2分；</w:t>
            </w:r>
          </w:p>
          <w:p w14:paraId="2CAF0BFD">
            <w:pP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" w:cs="仿宋_GB2312"/>
                <w:color w:val="auto"/>
                <w:sz w:val="24"/>
              </w:rPr>
              <w:t>教研室（中心）每学期开展不少于3次的教学会议、专题教研、教学培训等活动，除教研室（中心）以外的其他类型基层教学组织每学期不少于1次。以上全部达标计3分，每有1个基层教学组织不达标，扣1分，扣完为止。</w:t>
            </w:r>
          </w:p>
          <w:p w14:paraId="0F557E39">
            <w:pP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注：根据《广西师范大学基层教学组织建设与管理办法（2025年修订）》的通知（师政教学〔2025〕122号），基层教学组织包括学院/系教研室（中心）、实验教学中心、课程组、教学团队、教学研究与发展中心/平台等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</w:p>
          <w:p w14:paraId="3CD9EDF4">
            <w:pPr>
              <w:widowControl/>
              <w:jc w:val="left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【由教务处高教室核实，以年度为统计时段，以学院（部）提交材料为依据】</w:t>
            </w:r>
          </w:p>
        </w:tc>
        <w:tc>
          <w:tcPr>
            <w:tcW w:w="1095" w:type="dxa"/>
            <w:noWrap w:val="0"/>
            <w:vAlign w:val="center"/>
          </w:tcPr>
          <w:p w14:paraId="086775AD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5分</w:t>
            </w:r>
          </w:p>
        </w:tc>
      </w:tr>
      <w:tr w14:paraId="748454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6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6DCC320A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16C2A1DA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noWrap w:val="0"/>
            <w:vAlign w:val="center"/>
          </w:tcPr>
          <w:p w14:paraId="560F7A3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教师参加</w:t>
            </w:r>
          </w:p>
          <w:p w14:paraId="379E54A5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教学竞赛情况</w:t>
            </w:r>
          </w:p>
        </w:tc>
        <w:tc>
          <w:tcPr>
            <w:tcW w:w="8305" w:type="dxa"/>
            <w:noWrap w:val="0"/>
            <w:vAlign w:val="center"/>
          </w:tcPr>
          <w:p w14:paraId="51EC26A0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选派教师参加校级青年教师教学竞赛、教师教学创新大赛、课程思政示范课讲课比赛人次分别不少于2人，每达到1项计2分，共计6分。</w:t>
            </w:r>
          </w:p>
          <w:p w14:paraId="101F9CA6">
            <w:pPr>
              <w:widowControl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【由教发中心、课程与教材建设科核实，以年度为统计时段。】</w:t>
            </w:r>
          </w:p>
        </w:tc>
        <w:tc>
          <w:tcPr>
            <w:tcW w:w="1095" w:type="dxa"/>
            <w:noWrap w:val="0"/>
            <w:vAlign w:val="center"/>
          </w:tcPr>
          <w:p w14:paraId="2DF0110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6分</w:t>
            </w:r>
          </w:p>
        </w:tc>
      </w:tr>
      <w:tr w14:paraId="3AC8F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1624" w:type="dxa"/>
            <w:vMerge w:val="restart"/>
            <w:noWrap w:val="0"/>
            <w:vAlign w:val="center"/>
          </w:tcPr>
          <w:p w14:paraId="4BB3B6EA">
            <w:pPr>
              <w:spacing w:line="340" w:lineRule="exact"/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基础性指标</w:t>
            </w:r>
          </w:p>
          <w:p w14:paraId="69E1B85D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23B46ECD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学生生源及培养质量</w:t>
            </w:r>
          </w:p>
          <w:p w14:paraId="2B2DDBD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0763BC37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第一志愿</w:t>
            </w:r>
          </w:p>
          <w:p w14:paraId="1F392E26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录取率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3CE73DCA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各学院（部）全部专业区内第一志愿平均录取率达95%（含）以上，计5分；达80%（含）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，计4分；达60%（含）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，计3分；达40%（含）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，计2分；达20%（含）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，计1分；20%以下，计0分。</w:t>
            </w:r>
          </w:p>
          <w:p w14:paraId="4F84C71F">
            <w:pPr>
              <w:widowControl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【由教务处招生办公室核实，以年度为统计时段。】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5E61A4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5分</w:t>
            </w:r>
          </w:p>
        </w:tc>
      </w:tr>
      <w:tr w14:paraId="294B0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21052662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5EA85894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6DB94D1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本科生毕业率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1649ECF3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应届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生实际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毕业率达9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%(含)以上，计5分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达9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%(含)以上，计4分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94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%(含)以上，计3分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%(含)以上，计2分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%(含)以上，计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0%以下，计0分。</w:t>
            </w:r>
          </w:p>
          <w:p w14:paraId="434A24D4">
            <w:pPr>
              <w:widowControl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【由教务处学籍科核实，根据截至考核当年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月批次毕业审核数据为依据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49FE270C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分</w:t>
            </w:r>
          </w:p>
        </w:tc>
      </w:tr>
      <w:tr w14:paraId="220C4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9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43AC1D30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338D5EA4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3B229A81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创新创业</w:t>
            </w:r>
          </w:p>
          <w:p w14:paraId="5116984E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教育情况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09E9010C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1.专创思创融合教育有成效（1分）</w:t>
            </w:r>
          </w:p>
          <w:p w14:paraId="71A3D166">
            <w:pP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工作有激励有措施，计0.4分；新增专创思创融合课程，1门计0.3分。</w:t>
            </w:r>
          </w:p>
          <w:p w14:paraId="033870B3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2.中国国际大学生创新大赛组织有成效（1分）</w:t>
            </w:r>
          </w:p>
          <w:p w14:paraId="7D198D6A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工作有激励有措施，计0.4分；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按要求组织完成大赛项目报名数，计0.6分；完成率超过80%，计0.3分。</w:t>
            </w:r>
          </w:p>
          <w:p w14:paraId="5F9101EF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3.产创融合平台建设有成效（1分）</w:t>
            </w:r>
          </w:p>
          <w:p w14:paraId="024693F8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"/>
              </w:rPr>
              <w:t>有新增创新创业实践基地，计0.5分；新聘创新创业导师2名及以上，计0.5分。</w:t>
            </w:r>
          </w:p>
          <w:p w14:paraId="6876BBF6">
            <w:pPr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——【由创新创业学院核实，其中“有激励有措施”部分依据各学院（部）提供的支撑材料计分，以年度为统计时段。】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DE803F0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3分</w:t>
            </w:r>
          </w:p>
        </w:tc>
      </w:tr>
      <w:tr w14:paraId="1C52F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9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03354E1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750E067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0EEF7C69">
            <w:pPr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本科生到国（境）外、校外交流学习情况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230F312A">
            <w:pP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到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国（境）外或校外（博士点授权高校，办学层次应高于我校）交流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人次（含）以上，计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分；1人次（含）以上，计1分。</w:t>
            </w:r>
          </w:p>
          <w:p w14:paraId="1AE496CE">
            <w:pP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【由教务处评建办核实，以年度为统计时段，以本科教学状态采集数据为依据。交流学习时间一般应在一学期或以上。】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42364EF2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2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分</w:t>
            </w:r>
          </w:p>
        </w:tc>
      </w:tr>
      <w:tr w14:paraId="5369F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1624" w:type="dxa"/>
            <w:vMerge w:val="restart"/>
            <w:noWrap w:val="0"/>
            <w:vAlign w:val="center"/>
          </w:tcPr>
          <w:p w14:paraId="067EA671">
            <w:pPr>
              <w:spacing w:line="340" w:lineRule="exact"/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基础性指标</w:t>
            </w:r>
          </w:p>
          <w:p w14:paraId="36079A5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79CA06B5">
            <w:pPr>
              <w:jc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教学运行与毕业论文（设计）</w:t>
            </w:r>
          </w:p>
          <w:p w14:paraId="1AD98126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3FF454A2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教学基本运行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5EE51BAE">
            <w:pPr>
              <w:spacing w:line="340" w:lineRule="exact"/>
              <w:jc w:val="left"/>
              <w:rPr>
                <w:rFonts w:hint="default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本科教学运行良好，计20分；本科教学运行出现失误，但能及时处理与补救，未造成明显影响和损失，计10分；本科教学运行出现较大失误，造成不良影响和重大损失，计0分。</w:t>
            </w:r>
          </w:p>
          <w:p w14:paraId="33EC5465">
            <w:pPr>
              <w:spacing w:line="340" w:lineRule="exact"/>
              <w:jc w:val="left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【由教务处教务科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统筹各科室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核实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计分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，以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为统计时段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以各学院（部）本科教学运行情况为依据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27320050">
            <w:pPr>
              <w:spacing w:line="340" w:lineRule="exact"/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20分</w:t>
            </w:r>
          </w:p>
        </w:tc>
      </w:tr>
      <w:tr w14:paraId="26599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58147B2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6640D893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604B5912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小班授课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0727506F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专业课中30人及以下课堂数占比（%）</w:t>
            </w:r>
          </w:p>
          <w:p w14:paraId="4CB25349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30%（含）以上，计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20%（含）以上，计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10%（含）以上，计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10%以下，计0分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。</w:t>
            </w:r>
          </w:p>
          <w:p w14:paraId="6125E209">
            <w:pPr>
              <w:widowControl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【由教务处教务科核实，以学年为统计时段，以本科教学状态采集数据为依据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23A4AC19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分</w:t>
            </w:r>
          </w:p>
        </w:tc>
      </w:tr>
      <w:tr w14:paraId="7F157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8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08E21C6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08925E5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1943410D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开课门数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1B775835">
            <w:pPr>
              <w:jc w:val="left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开课门数占比（%）=已开课门数/应开课门数</w:t>
            </w:r>
          </w:p>
          <w:p w14:paraId="626ECDD6">
            <w:pPr>
              <w:jc w:val="left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应开课门数=专业系数*学生人数*（0.11+专业数*0.005），其中专业名称中含独秀试验班、地方公费师范生、中外合作办学、中高计划等的按0.5个专业数计，专业数为4以上的，按4计；专业数</w:t>
            </w:r>
            <w:r>
              <w:rPr>
                <w:rFonts w:hint="eastAsia" w:ascii="Times New Roman" w:hAnsi="Times New Roman" w:eastAsia="仿宋" w:cs="Calibri"/>
                <w:b w:val="0"/>
                <w:bCs w:val="0"/>
                <w:color w:val="auto"/>
                <w:sz w:val="24"/>
                <w:szCs w:val="24"/>
              </w:rPr>
              <w:t>&lt;</w:t>
            </w: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2，专业系数为0.8，专业数</w:t>
            </w:r>
            <w:r>
              <w:rPr>
                <w:rFonts w:hint="eastAsia" w:ascii="Times New Roman" w:hAnsi="Times New Roman" w:eastAsia="仿宋" w:cs="Calibri"/>
                <w:b w:val="0"/>
                <w:bCs w:val="0"/>
                <w:color w:val="auto"/>
                <w:sz w:val="24"/>
                <w:szCs w:val="24"/>
              </w:rPr>
              <w:t>&lt;=</w:t>
            </w: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3，专业系数为0.9，专业数</w:t>
            </w:r>
            <w:r>
              <w:rPr>
                <w:rFonts w:hint="eastAsia" w:ascii="Times New Roman" w:hAnsi="Times New Roman" w:eastAsia="仿宋" w:cs="Calibri"/>
                <w:b w:val="0"/>
                <w:bCs w:val="0"/>
                <w:color w:val="auto"/>
                <w:sz w:val="24"/>
                <w:szCs w:val="24"/>
              </w:rPr>
              <w:t>&gt;</w:t>
            </w: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3，专业系数为1。</w:t>
            </w:r>
          </w:p>
          <w:p w14:paraId="72094B9A">
            <w:pPr>
              <w:widowControl/>
              <w:jc w:val="left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占比</w:t>
            </w:r>
            <w:r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达95%（含）以上，计5分；达85%（含）以上，计4分；达70%（含）以上，计2分；达40%（含）以上，计1分；40%以下，计0分。</w:t>
            </w:r>
          </w:p>
          <w:p w14:paraId="58BCA467">
            <w:pPr>
              <w:jc w:val="left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【由教务处教务科核实，以学年为统计时段，以本科教学状态采集数据为依据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34442357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5分</w:t>
            </w:r>
          </w:p>
        </w:tc>
      </w:tr>
      <w:tr w14:paraId="12FF8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1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79E7353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60BF64C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2F63501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本科毕业论文（设计）选题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29FC2443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1.（各专业）毕业论文（设计）选题来自教师专业实践、科研课题比例≥50%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 w14:paraId="38FD2FAD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2.（各专业）以实验、实习、工程实践和社会调查等实践性工作为基础的毕业论文（设计）比例≥50%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 w14:paraId="7C517121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3.（师范类专业）属于教育理论研究或教学实践相关研究比例≥30%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  <w:p w14:paraId="2A30BD93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对于有师范生培养专业的学院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，若选题占比全部达标，则按照5分计；对于无师范生培养专业的学院，若前两项选题占比达标，则按照5分计。</w:t>
            </w:r>
          </w:p>
          <w:p w14:paraId="5B9B1C2E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【由教务处实践办核实，以年度为统计时段，以校级毕业论文（设计）系统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数据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674B514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5分</w:t>
            </w:r>
          </w:p>
        </w:tc>
      </w:tr>
      <w:tr w14:paraId="22FA00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0" w:hRule="atLeast"/>
          <w:jc w:val="center"/>
        </w:trPr>
        <w:tc>
          <w:tcPr>
            <w:tcW w:w="1624" w:type="dxa"/>
            <w:vMerge w:val="restart"/>
            <w:noWrap w:val="0"/>
            <w:vAlign w:val="center"/>
          </w:tcPr>
          <w:p w14:paraId="10169C9B">
            <w:pPr>
              <w:spacing w:line="340" w:lineRule="exact"/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基础性指标</w:t>
            </w:r>
          </w:p>
          <w:p w14:paraId="09169493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02AE68EC">
            <w:pPr>
              <w:jc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教学质量监督与保障</w:t>
            </w:r>
          </w:p>
          <w:p w14:paraId="3032EA43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（1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5BFCE334">
            <w:pPr>
              <w:jc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校级教学督导</w:t>
            </w:r>
          </w:p>
          <w:p w14:paraId="080969E1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评价情况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0DAE1C70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评价结果优良率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95%（含）以上，计5分；评价结果优良率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90%（含）以上，计4分；优良率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85%（含）以上，计3分；优良率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80%（含）以上，计2分；优良率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70%（含）以上，计1分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70%以下，计0分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。</w:t>
            </w:r>
          </w:p>
          <w:p w14:paraId="69095FF7">
            <w:pPr>
              <w:widowControl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69B34CD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5分</w:t>
            </w:r>
          </w:p>
        </w:tc>
      </w:tr>
      <w:tr w14:paraId="31DE0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2F5419F5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244AA11A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7AE53373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学院（部）级督导听课与同行评价情况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47E6A3DE">
            <w:pPr>
              <w:widowControl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1.学院（部）级督导听课达到学校规定的次数，计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分。</w:t>
            </w:r>
          </w:p>
          <w:p w14:paraId="61DCB0CB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2.学院（部）参与同行评价的教师数占比达100%，计2分；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90%（含）以上，计1.5分；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80%（含）以上，计1分；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70%（含）以上，计0.5分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70%以下，计0分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。</w:t>
            </w:r>
          </w:p>
          <w:p w14:paraId="199DE352">
            <w:pPr>
              <w:widowControl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2AA3AB10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分</w:t>
            </w:r>
          </w:p>
        </w:tc>
      </w:tr>
      <w:tr w14:paraId="58781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2032FDF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6802C236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noWrap w:val="0"/>
            <w:vAlign w:val="center"/>
          </w:tcPr>
          <w:p w14:paraId="22DBAFFE">
            <w:pPr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学生评教情况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15CC5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评教结果优秀率达95%（含）以上，计5分；优秀率达90%（含）以上，计4分；优秀率达85%（含）以上，计3分；；优秀率达80%（含）以上，计2分；优秀率达70%（含）以上，计1分；70%以下，计0分。</w:t>
            </w:r>
          </w:p>
          <w:p w14:paraId="5380B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【由教务处评建办核实，以学年为统计时段，以学校教学质量综合评价与分析系统数据为依据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】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1646B6ED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分</w:t>
            </w:r>
          </w:p>
        </w:tc>
      </w:tr>
      <w:tr w14:paraId="6AF77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restart"/>
            <w:noWrap w:val="0"/>
            <w:vAlign w:val="center"/>
          </w:tcPr>
          <w:p w14:paraId="1F103B42">
            <w:pPr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性指标</w:t>
            </w:r>
          </w:p>
          <w:p w14:paraId="6275AA73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最高20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706A668E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高水平</w:t>
            </w:r>
          </w:p>
          <w:p w14:paraId="7D23EA53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集体教</w:t>
            </w:r>
          </w:p>
          <w:p w14:paraId="35CB48C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学业绩</w:t>
            </w:r>
          </w:p>
        </w:tc>
        <w:tc>
          <w:tcPr>
            <w:tcW w:w="1691" w:type="dxa"/>
            <w:vMerge w:val="restart"/>
            <w:noWrap w:val="0"/>
            <w:vAlign w:val="center"/>
          </w:tcPr>
          <w:p w14:paraId="2B129786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本科教学卓越人才培养成效</w:t>
            </w:r>
          </w:p>
          <w:p w14:paraId="4D3C241F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【由教务处高教室核实】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5682AEE0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获批国家级“六卓越一拔尖”人才培养计划项目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E19E7DF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0分/个</w:t>
            </w:r>
          </w:p>
        </w:tc>
      </w:tr>
      <w:tr w14:paraId="13419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2C56CEF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6A7F2B74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64610FAC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56BB0971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获批自治区级“六卓越一拔尖”人才培养计划项目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49120F3F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分/个</w:t>
            </w:r>
          </w:p>
        </w:tc>
      </w:tr>
      <w:tr w14:paraId="0DD8F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1F849D6C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74496B6D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434D37E4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3F0825C7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获批自治区级基础学科拔尖学生培养基地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4C6243CC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15分/个</w:t>
            </w:r>
          </w:p>
        </w:tc>
      </w:tr>
      <w:tr w14:paraId="3FB98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561FD15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6637D30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046CD10A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7756B0D8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获批通过教务处组织审批申报的、以“四新”建设和本科人才培养为核心的自治区级现代产业学院等特色学院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28FA9662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10分/个</w:t>
            </w:r>
          </w:p>
        </w:tc>
      </w:tr>
      <w:tr w14:paraId="79595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595FF59C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135D67E6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restart"/>
            <w:noWrap w:val="0"/>
            <w:vAlign w:val="center"/>
          </w:tcPr>
          <w:p w14:paraId="702046D9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本科专业建设成效</w:t>
            </w:r>
          </w:p>
          <w:p w14:paraId="7E289BB8">
            <w:pPr>
              <w:jc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【由教务处高教室、评建办核实】</w:t>
            </w: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151B1BAE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通过师范类专业三级认证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126996F4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0分/个</w:t>
            </w:r>
          </w:p>
        </w:tc>
      </w:tr>
      <w:tr w14:paraId="09ED20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4338197F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36B98E1F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062A7B37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5BD7FA5A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通过师范类专业二级认证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7C4F6FDA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15分/个</w:t>
            </w:r>
          </w:p>
        </w:tc>
      </w:tr>
      <w:tr w14:paraId="1D6512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563121E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49D51ED4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54F51B06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798C14E5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通过工程教育专业认证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ED4813B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分/个</w:t>
            </w:r>
          </w:p>
        </w:tc>
      </w:tr>
      <w:tr w14:paraId="7A0017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  <w:noWrap w:val="0"/>
            <w:vAlign w:val="center"/>
          </w:tcPr>
          <w:p w14:paraId="4F8C7B9F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7225B3C3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146B8D1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noWrap w:val="0"/>
            <w:vAlign w:val="center"/>
          </w:tcPr>
          <w:p w14:paraId="78D49938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获批国家级一流专业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33AA4CB2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分/个</w:t>
            </w:r>
          </w:p>
        </w:tc>
      </w:tr>
      <w:tr w14:paraId="3137C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1D48457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39C19AA6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7D793594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2E8D2F18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获批自治区级一流专业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FE7BC3A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10分/个</w:t>
            </w:r>
          </w:p>
        </w:tc>
      </w:tr>
      <w:tr w14:paraId="4DBA4E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22037586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684C5D0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3CD32221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4890F298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通过国家级一流专业验收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00179AA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10分/个</w:t>
            </w:r>
          </w:p>
        </w:tc>
      </w:tr>
      <w:tr w14:paraId="1B5B7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659E1FC8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50CE207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39247F9D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1E2A915D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通过自治区级一流专业验收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11A59A55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5分/个</w:t>
            </w:r>
          </w:p>
        </w:tc>
      </w:tr>
      <w:tr w14:paraId="74897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624" w:type="dxa"/>
            <w:vMerge w:val="continue"/>
          </w:tcPr>
          <w:p w14:paraId="589F75CA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754C184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restart"/>
            <w:vAlign w:val="center"/>
          </w:tcPr>
          <w:p w14:paraId="7D2263ED">
            <w:pPr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优秀基层教学组织建设成效</w:t>
            </w:r>
          </w:p>
          <w:p w14:paraId="693F4206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【由教务处高教室核实】</w:t>
            </w:r>
          </w:p>
        </w:tc>
        <w:tc>
          <w:tcPr>
            <w:tcW w:w="8305" w:type="dxa"/>
            <w:shd w:val="clear" w:color="auto" w:fill="auto"/>
            <w:vAlign w:val="center"/>
          </w:tcPr>
          <w:p w14:paraId="1D53473F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获国家级优秀基层教学组织奖（含教学团队、优秀教研室、虚拟教研室、课程思政示范基层教学组织等，不含“黄大年式教师团队”等教师类组织）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7B3A4BB4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0分/个</w:t>
            </w:r>
          </w:p>
        </w:tc>
      </w:tr>
      <w:tr w14:paraId="67BBA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624" w:type="dxa"/>
            <w:vMerge w:val="continue"/>
          </w:tcPr>
          <w:p w14:paraId="069D0FC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3AEF5BD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04CF485A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6D8DEB5F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获自治区级优秀基层教学组织奖（含教学团队、优秀教研室、虚拟教研室、课程思政示范基层教学组织等，不含“黄大年式教师团队”等教师类组织）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7906EB8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10分/个</w:t>
            </w:r>
          </w:p>
        </w:tc>
      </w:tr>
      <w:tr w14:paraId="00E41B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restart"/>
            <w:vAlign w:val="center"/>
          </w:tcPr>
          <w:p w14:paraId="7932865F">
            <w:pPr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性指标</w:t>
            </w:r>
          </w:p>
          <w:p w14:paraId="2A4FB60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最高20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1449" w:type="dxa"/>
            <w:vMerge w:val="restart"/>
            <w:vAlign w:val="center"/>
          </w:tcPr>
          <w:p w14:paraId="682BADD3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标志性</w:t>
            </w:r>
          </w:p>
          <w:p w14:paraId="20D34B93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个人教</w:t>
            </w:r>
          </w:p>
          <w:p w14:paraId="68675CA2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学业绩</w:t>
            </w:r>
          </w:p>
        </w:tc>
        <w:tc>
          <w:tcPr>
            <w:tcW w:w="1691" w:type="dxa"/>
            <w:vMerge w:val="restart"/>
            <w:vAlign w:val="center"/>
          </w:tcPr>
          <w:p w14:paraId="246C1911"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学院（部）教师以第一完成人获得A级以上本科教学业绩情况</w:t>
            </w:r>
          </w:p>
          <w:p w14:paraId="0962EFFD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【由教务处各相关科室核实】</w:t>
            </w:r>
          </w:p>
        </w:tc>
        <w:tc>
          <w:tcPr>
            <w:tcW w:w="8305" w:type="dxa"/>
            <w:shd w:val="clear" w:color="auto" w:fill="auto"/>
            <w:vAlign w:val="center"/>
          </w:tcPr>
          <w:p w14:paraId="76DDB55E">
            <w:pPr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获T级本科教学业绩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7419E204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20分/项</w:t>
            </w:r>
          </w:p>
        </w:tc>
      </w:tr>
      <w:tr w14:paraId="45893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521866F0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</w:tcPr>
          <w:p w14:paraId="5D53463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6739EE6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3C7595FB">
            <w:pPr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获A1级本科教学业绩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01BD678D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分/项</w:t>
            </w:r>
          </w:p>
        </w:tc>
      </w:tr>
      <w:tr w14:paraId="5F4913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2356C6C5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</w:tcPr>
          <w:p w14:paraId="079E8C50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617AA306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5CC1B7A1">
            <w:pPr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获A2级本科教学业绩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21AF2F30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分/项</w:t>
            </w:r>
          </w:p>
        </w:tc>
      </w:tr>
      <w:tr w14:paraId="74C68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68B46508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</w:tcPr>
          <w:p w14:paraId="12C3B5EC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49029675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08FA6C56">
            <w:pPr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获A3级本科教学业绩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6B2E6519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分/项</w:t>
            </w:r>
          </w:p>
        </w:tc>
      </w:tr>
      <w:tr w14:paraId="195EA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24" w:type="dxa"/>
            <w:vMerge w:val="continue"/>
          </w:tcPr>
          <w:p w14:paraId="0C243CE7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</w:tcPr>
          <w:p w14:paraId="045FD768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vMerge w:val="continue"/>
          </w:tcPr>
          <w:p w14:paraId="2526D53D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305" w:type="dxa"/>
            <w:shd w:val="clear" w:color="auto" w:fill="auto"/>
            <w:vAlign w:val="center"/>
          </w:tcPr>
          <w:p w14:paraId="2A262A5C">
            <w:pPr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获A4级本科教学业绩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7AA6EBBE">
            <w:pPr>
              <w:jc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分/项</w:t>
            </w:r>
          </w:p>
        </w:tc>
      </w:tr>
      <w:tr w14:paraId="642A28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24" w:type="dxa"/>
            <w:vMerge w:val="restart"/>
            <w:vAlign w:val="center"/>
          </w:tcPr>
          <w:p w14:paraId="4ECA9AAB">
            <w:pPr>
              <w:jc w:val="center"/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约束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</w:rPr>
              <w:t>性指标</w:t>
            </w:r>
          </w:p>
          <w:p w14:paraId="538F8D92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分值不设下限</w:t>
            </w:r>
            <w:r>
              <w:rPr>
                <w:rFonts w:hint="eastAsia" w:ascii="Times New Roman" w:hAnsi="Times New Roman" w:eastAsia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49" w:type="dxa"/>
            <w:vMerge w:val="restart"/>
            <w:vAlign w:val="center"/>
          </w:tcPr>
          <w:p w14:paraId="2FE5CCBD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教学运行与管理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422A0C5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教授给本科生授课情况</w:t>
            </w:r>
          </w:p>
        </w:tc>
        <w:tc>
          <w:tcPr>
            <w:tcW w:w="9400" w:type="dxa"/>
            <w:gridSpan w:val="2"/>
            <w:shd w:val="clear" w:color="auto" w:fill="auto"/>
            <w:vAlign w:val="center"/>
          </w:tcPr>
          <w:p w14:paraId="1F8BB6A8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学年内主讲本科生课程的副高级以上职称专任教师授课比例未达到100%，按5分进行扣分。</w:t>
            </w:r>
          </w:p>
          <w:p w14:paraId="6ECFC4A8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【由教务处教务科核实】</w:t>
            </w:r>
          </w:p>
        </w:tc>
      </w:tr>
      <w:tr w14:paraId="372421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24" w:type="dxa"/>
            <w:vMerge w:val="continue"/>
            <w:vAlign w:val="center"/>
          </w:tcPr>
          <w:p w14:paraId="4F1DA8BA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4EDB9471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vAlign w:val="center"/>
          </w:tcPr>
          <w:p w14:paraId="68D9763F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教学秩序</w:t>
            </w:r>
          </w:p>
        </w:tc>
        <w:tc>
          <w:tcPr>
            <w:tcW w:w="9400" w:type="dxa"/>
            <w:gridSpan w:val="2"/>
            <w:shd w:val="clear" w:color="auto" w:fill="auto"/>
            <w:vAlign w:val="center"/>
          </w:tcPr>
          <w:p w14:paraId="53628250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违反学校本科教学调课、停课、代课管理办法规定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调停课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代课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，按1分/人次进行扣分。</w:t>
            </w:r>
          </w:p>
          <w:p w14:paraId="67690AED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【由教务处教务科核实】</w:t>
            </w:r>
          </w:p>
        </w:tc>
      </w:tr>
      <w:tr w14:paraId="57602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24" w:type="dxa"/>
            <w:vMerge w:val="continue"/>
            <w:vAlign w:val="center"/>
          </w:tcPr>
          <w:p w14:paraId="7B477AD0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 w14:paraId="41037B6C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毕业论文（设计）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EAB845E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本科毕业论文（设计）抽检</w:t>
            </w:r>
          </w:p>
        </w:tc>
        <w:tc>
          <w:tcPr>
            <w:tcW w:w="9400" w:type="dxa"/>
            <w:gridSpan w:val="2"/>
            <w:shd w:val="clear" w:color="auto" w:fill="auto"/>
            <w:vAlign w:val="center"/>
          </w:tcPr>
          <w:p w14:paraId="2BF4EDCB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在教育部本科毕业论文（设计）抽检中被认定为“存在问题论文”的，按5分/篇进行扣分。</w:t>
            </w:r>
          </w:p>
          <w:p w14:paraId="5D9D9217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【由教务处实践办核实，以教育部毕业论文（设计）抽检结果为依据】</w:t>
            </w:r>
          </w:p>
        </w:tc>
      </w:tr>
      <w:tr w14:paraId="19B88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24" w:type="dxa"/>
            <w:vMerge w:val="continue"/>
            <w:vAlign w:val="center"/>
          </w:tcPr>
          <w:p w14:paraId="5AFF6535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 w14:paraId="1FB0BB5B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质量保障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7B198AEF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教学差错行为</w:t>
            </w:r>
          </w:p>
        </w:tc>
        <w:tc>
          <w:tcPr>
            <w:tcW w:w="9400" w:type="dxa"/>
            <w:gridSpan w:val="2"/>
            <w:shd w:val="clear" w:color="auto" w:fill="auto"/>
            <w:vAlign w:val="center"/>
          </w:tcPr>
          <w:p w14:paraId="188AFD6A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发生重大教学事故，按10分/起扣分；发生严重教学事故，按8分/起扣分；发生一般教学事故，按5分/起扣分；发生教学违规行为，按1分/起扣分。</w:t>
            </w:r>
          </w:p>
          <w:p w14:paraId="7EB737AE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二级学院（部）主动要求认定的教学差错行为不扣分。</w:t>
            </w:r>
          </w:p>
          <w:p w14:paraId="17B60EBA">
            <w:pPr>
              <w:jc w:val="both"/>
              <w:rPr>
                <w:rFonts w:hint="eastAsia" w:ascii="Times New Roman" w:hAnsi="Times New Roman" w:eastAsia="仿宋" w:cstheme="minorBidi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【由教务处评建办核实】</w:t>
            </w:r>
          </w:p>
        </w:tc>
      </w:tr>
      <w:tr w14:paraId="6E235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624" w:type="dxa"/>
            <w:vMerge w:val="continue"/>
            <w:vAlign w:val="center"/>
          </w:tcPr>
          <w:p w14:paraId="46C0C0FF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 w14:paraId="7A63AE1E">
            <w:pPr>
              <w:spacing w:line="340" w:lineRule="exact"/>
              <w:jc w:val="center"/>
              <w:rPr>
                <w:rFonts w:ascii="Times New Roman" w:hAnsi="Times New Roman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  <w:vAlign w:val="center"/>
          </w:tcPr>
          <w:p w14:paraId="412E4D7D">
            <w:pPr>
              <w:widowControl/>
              <w:jc w:val="center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专业认证状态</w:t>
            </w:r>
          </w:p>
          <w:p w14:paraId="51A997F9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保持监控</w:t>
            </w:r>
          </w:p>
        </w:tc>
        <w:tc>
          <w:tcPr>
            <w:tcW w:w="9400" w:type="dxa"/>
            <w:gridSpan w:val="2"/>
            <w:shd w:val="clear" w:color="auto" w:fill="auto"/>
            <w:vAlign w:val="center"/>
          </w:tcPr>
          <w:p w14:paraId="2D5C4326"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未按要求保持认证状态，被终止认证有效期的，按15分/专业扣分；</w:t>
            </w:r>
          </w:p>
          <w:p w14:paraId="3F282980">
            <w:pPr>
              <w:widowControl/>
              <w:jc w:val="left"/>
              <w:textAlignment w:val="center"/>
              <w:rPr>
                <w:rFonts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未按要求提交专业认证整改报告、年度报备、中期审核材料，受到上级部门/评估机构通报的，按5分/专业扣分。</w:t>
            </w:r>
          </w:p>
          <w:p w14:paraId="22CA44F4">
            <w:pPr>
              <w:jc w:val="both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——</w:t>
            </w:r>
            <w:r>
              <w:rPr>
                <w:rFonts w:hint="eastAsia" w:ascii="Times New Roman" w:hAnsi="Times New Roman" w:eastAsia="仿宋" w:cs="仿宋_GB2312"/>
                <w:b w:val="0"/>
                <w:bCs w:val="0"/>
                <w:color w:val="auto"/>
                <w:sz w:val="24"/>
                <w:szCs w:val="24"/>
              </w:rPr>
              <w:t>【由教务处评建办核实】</w:t>
            </w:r>
          </w:p>
        </w:tc>
      </w:tr>
    </w:tbl>
    <w:p w14:paraId="66EAB774">
      <w:pPr>
        <w:spacing w:line="580" w:lineRule="exact"/>
        <w:rPr>
          <w:rFonts w:hint="eastAsia" w:eastAsia="仿宋_GB2312"/>
          <w:sz w:val="32"/>
          <w:szCs w:val="32"/>
        </w:rPr>
      </w:pPr>
    </w:p>
    <w:sectPr>
      <w:pgSz w:w="16838" w:h="11906" w:orient="landscape"/>
      <w:pgMar w:top="141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22C0E5-6F2B-4778-A2A4-A171826BA3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A2EE917-54CD-43FC-A32C-84D1732969D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AF97416-86E7-4E5D-8DF5-72A863CE795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0110D8BA-9014-47AB-BC47-DCADCA8AA13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0E3BD1F-C90A-4B50-9DBA-9DB9C8573CFF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A5B4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6C2F2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6C2F2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YmI1MzZiOTFkNWFkZTU5ZjJlMjU2OWRhOWNmZDUifQ=="/>
  </w:docVars>
  <w:rsids>
    <w:rsidRoot w:val="00805658"/>
    <w:rsid w:val="00043030"/>
    <w:rsid w:val="000E4537"/>
    <w:rsid w:val="00106463"/>
    <w:rsid w:val="001343EF"/>
    <w:rsid w:val="00146F0E"/>
    <w:rsid w:val="00165C05"/>
    <w:rsid w:val="001A2D7E"/>
    <w:rsid w:val="001B27E3"/>
    <w:rsid w:val="001D36F0"/>
    <w:rsid w:val="002150E0"/>
    <w:rsid w:val="00256EE6"/>
    <w:rsid w:val="00261E07"/>
    <w:rsid w:val="0027474F"/>
    <w:rsid w:val="002D6F03"/>
    <w:rsid w:val="002E222C"/>
    <w:rsid w:val="00350BB3"/>
    <w:rsid w:val="003E7568"/>
    <w:rsid w:val="004563AC"/>
    <w:rsid w:val="00491A6E"/>
    <w:rsid w:val="004D0CDC"/>
    <w:rsid w:val="00531F47"/>
    <w:rsid w:val="005F438A"/>
    <w:rsid w:val="00805658"/>
    <w:rsid w:val="008168B8"/>
    <w:rsid w:val="008723BC"/>
    <w:rsid w:val="008D25C7"/>
    <w:rsid w:val="00A46761"/>
    <w:rsid w:val="00A65998"/>
    <w:rsid w:val="00AA78D2"/>
    <w:rsid w:val="00C46D22"/>
    <w:rsid w:val="00CB5E46"/>
    <w:rsid w:val="00DB0633"/>
    <w:rsid w:val="00E74AD3"/>
    <w:rsid w:val="00EC1ACD"/>
    <w:rsid w:val="00ED201D"/>
    <w:rsid w:val="00F653F4"/>
    <w:rsid w:val="00F8165F"/>
    <w:rsid w:val="00F86321"/>
    <w:rsid w:val="01771768"/>
    <w:rsid w:val="01EA5991"/>
    <w:rsid w:val="0206687F"/>
    <w:rsid w:val="0495080F"/>
    <w:rsid w:val="0495474D"/>
    <w:rsid w:val="04F52705"/>
    <w:rsid w:val="056A17C4"/>
    <w:rsid w:val="05A827C4"/>
    <w:rsid w:val="05A9008D"/>
    <w:rsid w:val="05BF277D"/>
    <w:rsid w:val="05FB615F"/>
    <w:rsid w:val="061C31FD"/>
    <w:rsid w:val="07E01DA1"/>
    <w:rsid w:val="08675586"/>
    <w:rsid w:val="08715D6B"/>
    <w:rsid w:val="087921F6"/>
    <w:rsid w:val="08E9737B"/>
    <w:rsid w:val="08F06093"/>
    <w:rsid w:val="09214893"/>
    <w:rsid w:val="0A314B36"/>
    <w:rsid w:val="0B391137"/>
    <w:rsid w:val="0B5014AF"/>
    <w:rsid w:val="0C0F4CA9"/>
    <w:rsid w:val="0C1D4044"/>
    <w:rsid w:val="0C306E31"/>
    <w:rsid w:val="0D41732C"/>
    <w:rsid w:val="0D5106FB"/>
    <w:rsid w:val="0E330D9D"/>
    <w:rsid w:val="0E3756DF"/>
    <w:rsid w:val="0F5C11BB"/>
    <w:rsid w:val="0F752085"/>
    <w:rsid w:val="0FA83D43"/>
    <w:rsid w:val="0FBA0471"/>
    <w:rsid w:val="0FE26495"/>
    <w:rsid w:val="10AE722C"/>
    <w:rsid w:val="110C3C07"/>
    <w:rsid w:val="11286567"/>
    <w:rsid w:val="120B2110"/>
    <w:rsid w:val="12A00BC0"/>
    <w:rsid w:val="13192772"/>
    <w:rsid w:val="13274D28"/>
    <w:rsid w:val="14792B2B"/>
    <w:rsid w:val="15325619"/>
    <w:rsid w:val="1550791F"/>
    <w:rsid w:val="15C21DD7"/>
    <w:rsid w:val="15F74D97"/>
    <w:rsid w:val="166B1404"/>
    <w:rsid w:val="1723724B"/>
    <w:rsid w:val="180E295A"/>
    <w:rsid w:val="190D44B0"/>
    <w:rsid w:val="19365AF2"/>
    <w:rsid w:val="1A0B053B"/>
    <w:rsid w:val="1A1A7076"/>
    <w:rsid w:val="1A5E65F1"/>
    <w:rsid w:val="1A710D72"/>
    <w:rsid w:val="1A7E1F9E"/>
    <w:rsid w:val="1B375D9A"/>
    <w:rsid w:val="1B852F33"/>
    <w:rsid w:val="1BD22969"/>
    <w:rsid w:val="1BE063BC"/>
    <w:rsid w:val="1BE3530E"/>
    <w:rsid w:val="1BE72E08"/>
    <w:rsid w:val="1CCD2D45"/>
    <w:rsid w:val="1E0C1579"/>
    <w:rsid w:val="1F0E65DF"/>
    <w:rsid w:val="20286583"/>
    <w:rsid w:val="20B25F0C"/>
    <w:rsid w:val="214D44F3"/>
    <w:rsid w:val="222F3BF9"/>
    <w:rsid w:val="232D5FE8"/>
    <w:rsid w:val="238F3715"/>
    <w:rsid w:val="25036DC2"/>
    <w:rsid w:val="25900E53"/>
    <w:rsid w:val="25976B70"/>
    <w:rsid w:val="25B95D61"/>
    <w:rsid w:val="26D258EE"/>
    <w:rsid w:val="284D3482"/>
    <w:rsid w:val="296D064B"/>
    <w:rsid w:val="2A27165A"/>
    <w:rsid w:val="2A6C0980"/>
    <w:rsid w:val="2A90786F"/>
    <w:rsid w:val="2A9D5BCF"/>
    <w:rsid w:val="2CD81BD2"/>
    <w:rsid w:val="2DF84844"/>
    <w:rsid w:val="2E0458ED"/>
    <w:rsid w:val="2F231965"/>
    <w:rsid w:val="2F692231"/>
    <w:rsid w:val="312A7180"/>
    <w:rsid w:val="325F46C5"/>
    <w:rsid w:val="32864425"/>
    <w:rsid w:val="330F3A69"/>
    <w:rsid w:val="33C055D5"/>
    <w:rsid w:val="33FE167D"/>
    <w:rsid w:val="349A1F45"/>
    <w:rsid w:val="3522139B"/>
    <w:rsid w:val="36612269"/>
    <w:rsid w:val="36705998"/>
    <w:rsid w:val="37377177"/>
    <w:rsid w:val="37753A04"/>
    <w:rsid w:val="37AA39CF"/>
    <w:rsid w:val="37F7266B"/>
    <w:rsid w:val="3AA90857"/>
    <w:rsid w:val="3AF86E26"/>
    <w:rsid w:val="3B285B04"/>
    <w:rsid w:val="3B37051D"/>
    <w:rsid w:val="3BB960BD"/>
    <w:rsid w:val="3C26026B"/>
    <w:rsid w:val="3C7A683D"/>
    <w:rsid w:val="3E2B2911"/>
    <w:rsid w:val="3E774089"/>
    <w:rsid w:val="41143CC4"/>
    <w:rsid w:val="414508EB"/>
    <w:rsid w:val="415018DE"/>
    <w:rsid w:val="41540B2E"/>
    <w:rsid w:val="41A569A5"/>
    <w:rsid w:val="429800BE"/>
    <w:rsid w:val="42CE16D7"/>
    <w:rsid w:val="43E52982"/>
    <w:rsid w:val="444C3F73"/>
    <w:rsid w:val="44915BF6"/>
    <w:rsid w:val="44AA00F0"/>
    <w:rsid w:val="450026BE"/>
    <w:rsid w:val="45A60722"/>
    <w:rsid w:val="45D12795"/>
    <w:rsid w:val="464438E9"/>
    <w:rsid w:val="47674A0A"/>
    <w:rsid w:val="47D950F8"/>
    <w:rsid w:val="486E6698"/>
    <w:rsid w:val="488416E9"/>
    <w:rsid w:val="49FD0048"/>
    <w:rsid w:val="4A6C04D9"/>
    <w:rsid w:val="4A9F3FE3"/>
    <w:rsid w:val="4AEF6D10"/>
    <w:rsid w:val="4B0C4228"/>
    <w:rsid w:val="4B9F5B20"/>
    <w:rsid w:val="4C327CBE"/>
    <w:rsid w:val="4C6A7458"/>
    <w:rsid w:val="4DF94439"/>
    <w:rsid w:val="4ECE1A58"/>
    <w:rsid w:val="4F861A28"/>
    <w:rsid w:val="500A6659"/>
    <w:rsid w:val="51962451"/>
    <w:rsid w:val="538152CE"/>
    <w:rsid w:val="53B31DFE"/>
    <w:rsid w:val="540957A8"/>
    <w:rsid w:val="558F642D"/>
    <w:rsid w:val="563768E1"/>
    <w:rsid w:val="573457AD"/>
    <w:rsid w:val="58AE2AB8"/>
    <w:rsid w:val="59D0118A"/>
    <w:rsid w:val="5A601E9A"/>
    <w:rsid w:val="5A8C79F2"/>
    <w:rsid w:val="5ADF2C20"/>
    <w:rsid w:val="5B341205"/>
    <w:rsid w:val="5B8B0F7D"/>
    <w:rsid w:val="5BB31FE5"/>
    <w:rsid w:val="5BC92CC5"/>
    <w:rsid w:val="5C2F7320"/>
    <w:rsid w:val="5C8F1046"/>
    <w:rsid w:val="5C94001F"/>
    <w:rsid w:val="5D0A1B1B"/>
    <w:rsid w:val="5D8823DF"/>
    <w:rsid w:val="60667F9A"/>
    <w:rsid w:val="62500B62"/>
    <w:rsid w:val="62C22BC5"/>
    <w:rsid w:val="63416FE4"/>
    <w:rsid w:val="63BB140D"/>
    <w:rsid w:val="63CB4828"/>
    <w:rsid w:val="63DC5DDC"/>
    <w:rsid w:val="64D836A1"/>
    <w:rsid w:val="655F0748"/>
    <w:rsid w:val="661A19FC"/>
    <w:rsid w:val="66262537"/>
    <w:rsid w:val="668F6637"/>
    <w:rsid w:val="67282467"/>
    <w:rsid w:val="673E685F"/>
    <w:rsid w:val="683A2C4A"/>
    <w:rsid w:val="6865349E"/>
    <w:rsid w:val="689E3550"/>
    <w:rsid w:val="68B94DC6"/>
    <w:rsid w:val="68E75341"/>
    <w:rsid w:val="69F61ABB"/>
    <w:rsid w:val="6AA84182"/>
    <w:rsid w:val="6AB54692"/>
    <w:rsid w:val="6AE03E40"/>
    <w:rsid w:val="6B3765B9"/>
    <w:rsid w:val="6D374CDD"/>
    <w:rsid w:val="6D9C629C"/>
    <w:rsid w:val="6DAD3D94"/>
    <w:rsid w:val="6DE210EC"/>
    <w:rsid w:val="6F270E9F"/>
    <w:rsid w:val="70C96594"/>
    <w:rsid w:val="71391873"/>
    <w:rsid w:val="71A62431"/>
    <w:rsid w:val="71D76797"/>
    <w:rsid w:val="71E65719"/>
    <w:rsid w:val="724A1C9D"/>
    <w:rsid w:val="730833A3"/>
    <w:rsid w:val="74512923"/>
    <w:rsid w:val="76504F2C"/>
    <w:rsid w:val="76760624"/>
    <w:rsid w:val="773559C3"/>
    <w:rsid w:val="77C51CA0"/>
    <w:rsid w:val="784B3176"/>
    <w:rsid w:val="78B920B6"/>
    <w:rsid w:val="78F64839"/>
    <w:rsid w:val="7B1E5DC0"/>
    <w:rsid w:val="7C8021FC"/>
    <w:rsid w:val="7CAD4FBB"/>
    <w:rsid w:val="7DD80FC0"/>
    <w:rsid w:val="7E580B67"/>
    <w:rsid w:val="7F2D4191"/>
    <w:rsid w:val="7FA91223"/>
    <w:rsid w:val="7FB14DC3"/>
    <w:rsid w:val="7FBF28BC"/>
    <w:rsid w:val="7FC614E3"/>
    <w:rsid w:val="7FF7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3"/>
    <w:next w:val="3"/>
    <w:link w:val="15"/>
    <w:qFormat/>
    <w:uiPriority w:val="0"/>
    <w:rPr>
      <w:b/>
      <w:bCs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批注文字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字符"/>
    <w:basedOn w:val="14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852</Words>
  <Characters>875</Characters>
  <Lines>42</Lines>
  <Paragraphs>11</Paragraphs>
  <TotalTime>42</TotalTime>
  <ScaleCrop>false</ScaleCrop>
  <LinksUpToDate>false</LinksUpToDate>
  <CharactersWithSpaces>875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2024-03-29T03:22:00Z</dcterms:created>
  <dc:creator>Administrator</dc:creator>
  <cp:lastModifiedBy>欣飘尘</cp:lastModifiedBy>
  <cp:lastPrinted>2024-08-30T08:21:00Z</cp:lastPrinted>
  <dcterms:modified xsi:type="dcterms:W3CDTF">2025-11-27T09:12:32Z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7C780B22D4624A7D9B40F360E92D2522_13</vt:lpwstr>
  </property>
  <property fmtid="{D5CDD505-2E9C-101B-9397-08002B2CF9AE}" pid="4" name="KSOTemplateDocerSaveRecord">
    <vt:lpwstr>eyJoZGlkIjoiMDNlMjMxZThmZWMyZDMwYzU0ZGE1MDc4NTRhMmMxMzAiLCJ1c2VySWQiOiIzMzMwNjIzODMifQ==</vt:lpwstr>
  </property>
</Properties>
</file>